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4D1411" w14:textId="239B5199" w:rsidR="00981714" w:rsidRPr="00841BCD" w:rsidRDefault="00981714" w:rsidP="0098171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Meeting#101</w:t>
      </w:r>
      <w:r w:rsidRPr="00841BCD">
        <w:rPr>
          <w:rFonts w:ascii="Arial" w:eastAsia="SimSun" w:hAnsi="Arial"/>
          <w:b/>
          <w:sz w:val="24"/>
        </w:rPr>
        <w:t xml:space="preserve">      </w:t>
      </w:r>
      <w:r w:rsidRPr="00841BCD">
        <w:rPr>
          <w:rFonts w:ascii="Arial" w:eastAsia="SimSun" w:hAnsi="Arial"/>
          <w:b/>
          <w:bCs/>
          <w:sz w:val="24"/>
        </w:rPr>
        <w:tab/>
      </w:r>
      <w:r w:rsidR="00036157" w:rsidRPr="00036157">
        <w:rPr>
          <w:rFonts w:ascii="Arial" w:eastAsia="SimSun" w:hAnsi="Arial"/>
          <w:b/>
          <w:bCs/>
          <w:sz w:val="24"/>
          <w:lang w:eastAsia="ja-JP"/>
        </w:rPr>
        <w:t>R4-2117543</w:t>
      </w:r>
    </w:p>
    <w:p w14:paraId="2007BA0D" w14:textId="77777777" w:rsidR="00981714" w:rsidRPr="00841BCD" w:rsidRDefault="00981714" w:rsidP="00981714">
      <w:pPr>
        <w:widowControl w:val="0"/>
        <w:tabs>
          <w:tab w:val="right" w:pos="9639"/>
        </w:tabs>
        <w:spacing w:after="0"/>
        <w:rPr>
          <w:rFonts w:ascii="Arial" w:eastAsia="SimSun" w:hAnsi="Arial"/>
          <w:b/>
          <w:bCs/>
          <w:sz w:val="24"/>
        </w:rPr>
      </w:pPr>
      <w:r>
        <w:rPr>
          <w:rFonts w:ascii="Arial" w:eastAsia="SimSun" w:hAnsi="Arial"/>
          <w:b/>
          <w:sz w:val="24"/>
        </w:rPr>
        <w:t>E-meeting, 1</w:t>
      </w:r>
      <w:r w:rsidRPr="00633A6E">
        <w:rPr>
          <w:rFonts w:ascii="Arial" w:eastAsia="SimSun" w:hAnsi="Arial"/>
          <w:b/>
          <w:sz w:val="24"/>
          <w:vertAlign w:val="superscript"/>
        </w:rPr>
        <w:t>st</w:t>
      </w:r>
      <w:r>
        <w:rPr>
          <w:rFonts w:ascii="Arial" w:eastAsia="SimSun" w:hAnsi="Arial"/>
          <w:b/>
          <w:sz w:val="24"/>
        </w:rPr>
        <w:t xml:space="preserve"> – 12</w:t>
      </w:r>
      <w:r w:rsidRPr="00633A6E">
        <w:rPr>
          <w:rFonts w:ascii="Arial" w:eastAsia="SimSun" w:hAnsi="Arial"/>
          <w:b/>
          <w:sz w:val="24"/>
          <w:vertAlign w:val="superscript"/>
        </w:rPr>
        <w:t>th</w:t>
      </w:r>
      <w:r>
        <w:rPr>
          <w:rFonts w:ascii="Arial" w:eastAsia="SimSun" w:hAnsi="Arial"/>
          <w:b/>
          <w:sz w:val="24"/>
        </w:rPr>
        <w:t xml:space="preserve"> Nov</w:t>
      </w:r>
      <w:r w:rsidRPr="009C576E">
        <w:rPr>
          <w:rFonts w:ascii="Arial" w:eastAsia="SimSun" w:hAnsi="Arial"/>
          <w:b/>
          <w:sz w:val="24"/>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21</w:t>
      </w:r>
    </w:p>
    <w:bookmarkEnd w:id="1"/>
    <w:bookmarkEnd w:id="2"/>
    <w:p w14:paraId="4E5C2001" w14:textId="77777777" w:rsidR="00B97703" w:rsidRDefault="00B97703">
      <w:pPr>
        <w:rPr>
          <w:rFonts w:ascii="Arial" w:hAnsi="Arial" w:cs="Arial"/>
        </w:rPr>
      </w:pPr>
    </w:p>
    <w:p w14:paraId="0910A0FF" w14:textId="77746FE2"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FC41B7">
        <w:rPr>
          <w:rFonts w:ascii="Arial" w:hAnsi="Arial" w:cs="Arial"/>
          <w:b/>
          <w:sz w:val="22"/>
          <w:szCs w:val="22"/>
        </w:rPr>
        <w:t>FR2 DL CA based on CMB</w:t>
      </w:r>
    </w:p>
    <w:p w14:paraId="3155ED9A" w14:textId="7B6EFD66"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330EDF" w:rsidRPr="00330EDF">
        <w:rPr>
          <w:rFonts w:ascii="Arial" w:hAnsi="Arial" w:cs="Arial"/>
          <w:b/>
          <w:sz w:val="22"/>
          <w:szCs w:val="22"/>
        </w:rPr>
        <w:t>Nokia, Nokia Shanghai Bell</w:t>
      </w:r>
    </w:p>
    <w:p w14:paraId="6FC2501C" w14:textId="543CA2D5"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FC41B7">
        <w:rPr>
          <w:rFonts w:ascii="Arial" w:hAnsi="Arial" w:cs="Arial"/>
          <w:b/>
          <w:sz w:val="22"/>
          <w:szCs w:val="22"/>
        </w:rPr>
        <w:t>8.4.2.1.1</w:t>
      </w:r>
    </w:p>
    <w:p w14:paraId="0C883BB6" w14:textId="6617C91E" w:rsidR="00D27D6D" w:rsidRPr="00335D84" w:rsidRDefault="00D27D6D" w:rsidP="0FAF5B7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42C92B4F" w:rsidRPr="0FAF5B7A">
        <w:rPr>
          <w:rFonts w:ascii="Arial" w:hAnsi="Arial" w:cs="Arial"/>
          <w:b/>
          <w:bCs/>
          <w:sz w:val="22"/>
          <w:szCs w:val="22"/>
        </w:rPr>
        <w:t>Approval</w:t>
      </w:r>
    </w:p>
    <w:p w14:paraId="06D046F4" w14:textId="332A9B82" w:rsidR="00B97703" w:rsidRDefault="000F6242" w:rsidP="00B97703">
      <w:pPr>
        <w:pStyle w:val="Heading1"/>
      </w:pPr>
      <w:r>
        <w:t>1</w:t>
      </w:r>
      <w:r w:rsidR="002F1940">
        <w:tab/>
      </w:r>
      <w:r w:rsidR="00AA7654">
        <w:t>Introduction</w:t>
      </w:r>
    </w:p>
    <w:p w14:paraId="66CCC36C" w14:textId="6DC17744" w:rsidR="00290FCD" w:rsidRDefault="673AD910" w:rsidP="00290FCD">
      <w:pPr>
        <w:spacing w:after="0"/>
      </w:pPr>
      <w:r>
        <w:rPr>
          <w:lang w:val="en-US" w:eastAsia="fi-FI"/>
        </w:rPr>
        <w:t xml:space="preserve">This contribution </w:t>
      </w:r>
      <w:r w:rsidR="003716CB">
        <w:rPr>
          <w:lang w:val="en-US" w:eastAsia="fi-FI"/>
        </w:rPr>
        <w:t xml:space="preserve">discusses </w:t>
      </w:r>
      <w:r w:rsidR="003716CB" w:rsidRPr="003716CB">
        <w:rPr>
          <w:lang w:val="en-US" w:eastAsia="fi-FI"/>
        </w:rPr>
        <w:t>FR2 DL CA based on CMB</w:t>
      </w:r>
      <w:r w:rsidR="003716CB">
        <w:rPr>
          <w:lang w:val="en-US" w:eastAsia="fi-FI"/>
        </w:rPr>
        <w:t xml:space="preserve"> on the topics addressed in last meeting WF[1].</w:t>
      </w:r>
    </w:p>
    <w:p w14:paraId="4E1D3A34" w14:textId="4ACB22DB" w:rsidR="00B97703" w:rsidRDefault="002F1940" w:rsidP="000F6242">
      <w:pPr>
        <w:pStyle w:val="Heading1"/>
      </w:pPr>
      <w:r>
        <w:t>2</w:t>
      </w:r>
      <w:r>
        <w:tab/>
      </w:r>
      <w:r w:rsidR="00AA7654">
        <w:t>Discussion</w:t>
      </w:r>
    </w:p>
    <w:p w14:paraId="6E050612" w14:textId="67B2E6A4" w:rsidR="003716CB" w:rsidRDefault="003716CB" w:rsidP="003716CB">
      <w:pPr>
        <w:pStyle w:val="Heading2"/>
      </w:pPr>
      <w:r>
        <w:t>2.1</w:t>
      </w:r>
      <w:r>
        <w:tab/>
      </w:r>
      <w:r w:rsidRPr="003716CB">
        <w:t>Beam management reference signal</w:t>
      </w:r>
    </w:p>
    <w:p w14:paraId="55470322" w14:textId="301EFA9D" w:rsidR="003716CB" w:rsidRPr="003716CB" w:rsidRDefault="003716CB" w:rsidP="003716CB">
      <w:r>
        <w:t>From WF [1]</w:t>
      </w:r>
    </w:p>
    <w:p w14:paraId="2AFBDA63" w14:textId="77777777" w:rsidR="003716CB" w:rsidRPr="003716CB" w:rsidRDefault="003716CB" w:rsidP="003716CB">
      <w:pPr>
        <w:pStyle w:val="paragraph"/>
        <w:numPr>
          <w:ilvl w:val="0"/>
          <w:numId w:val="16"/>
        </w:numPr>
        <w:spacing w:before="0" w:beforeAutospacing="0" w:after="0" w:afterAutospacing="0"/>
        <w:ind w:left="216" w:firstLine="0"/>
        <w:textAlignment w:val="baseline"/>
        <w:rPr>
          <w:sz w:val="20"/>
          <w:szCs w:val="20"/>
        </w:rPr>
      </w:pPr>
      <w:r w:rsidRPr="003716CB">
        <w:rPr>
          <w:rStyle w:val="normaltextrun"/>
          <w:position w:val="2"/>
          <w:sz w:val="20"/>
          <w:szCs w:val="20"/>
          <w:lang w:val="en-US"/>
        </w:rPr>
        <w:t>Beam management reference signal (BMRS): The DL signal designated by the network for the UE to make measurements on, for the purpose of selecting its DL Rx beam(s). </w:t>
      </w:r>
      <w:r w:rsidRPr="003716CB">
        <w:rPr>
          <w:rStyle w:val="eop"/>
          <w:sz w:val="20"/>
          <w:szCs w:val="20"/>
        </w:rPr>
        <w:t>​</w:t>
      </w:r>
    </w:p>
    <w:p w14:paraId="1AF5DC1D" w14:textId="77777777" w:rsidR="003716CB" w:rsidRPr="003716CB" w:rsidRDefault="003716CB" w:rsidP="003716CB">
      <w:pPr>
        <w:pStyle w:val="paragraph"/>
        <w:numPr>
          <w:ilvl w:val="0"/>
          <w:numId w:val="16"/>
        </w:numPr>
        <w:spacing w:before="0" w:beforeAutospacing="0" w:after="0" w:afterAutospacing="0"/>
        <w:ind w:left="216" w:firstLine="0"/>
        <w:textAlignment w:val="baseline"/>
        <w:rPr>
          <w:sz w:val="20"/>
          <w:szCs w:val="20"/>
        </w:rPr>
      </w:pPr>
      <w:r w:rsidRPr="003716CB">
        <w:rPr>
          <w:rStyle w:val="normaltextrun"/>
          <w:position w:val="2"/>
          <w:sz w:val="20"/>
          <w:szCs w:val="20"/>
          <w:highlight w:val="green"/>
          <w:lang w:val="en-US"/>
        </w:rPr>
        <w:t>GTW Agreement:</w:t>
      </w:r>
      <w:r w:rsidRPr="003716CB">
        <w:rPr>
          <w:rStyle w:val="normaltextrun"/>
          <w:position w:val="2"/>
          <w:sz w:val="20"/>
          <w:szCs w:val="20"/>
          <w:lang w:val="en-US"/>
        </w:rPr>
        <w:t> For core requirements applicability in relation to BMRS location:</w:t>
      </w:r>
      <w:r w:rsidRPr="003716CB">
        <w:rPr>
          <w:rStyle w:val="eop"/>
          <w:sz w:val="20"/>
          <w:szCs w:val="20"/>
        </w:rPr>
        <w:t>​</w:t>
      </w:r>
    </w:p>
    <w:p w14:paraId="6509F756" w14:textId="77777777" w:rsidR="003716CB" w:rsidRPr="003716CB" w:rsidRDefault="003716CB" w:rsidP="003716CB">
      <w:pPr>
        <w:pStyle w:val="paragraph"/>
        <w:numPr>
          <w:ilvl w:val="0"/>
          <w:numId w:val="16"/>
        </w:numPr>
        <w:spacing w:before="0" w:beforeAutospacing="0" w:after="0" w:afterAutospacing="0"/>
        <w:ind w:left="648" w:firstLine="0"/>
        <w:textAlignment w:val="baseline"/>
        <w:rPr>
          <w:sz w:val="20"/>
          <w:szCs w:val="20"/>
        </w:rPr>
      </w:pPr>
      <w:r w:rsidRPr="003716CB">
        <w:rPr>
          <w:rStyle w:val="normaltextrun"/>
          <w:position w:val="2"/>
          <w:sz w:val="20"/>
          <w:szCs w:val="20"/>
          <w:lang w:val="en-US"/>
        </w:rPr>
        <w:t>CBM inter-band CA requirements apply per-band with the BMRS configured in any one of the participating bands.</w:t>
      </w:r>
      <w:r w:rsidRPr="003716CB">
        <w:rPr>
          <w:rStyle w:val="eop"/>
          <w:sz w:val="20"/>
          <w:szCs w:val="20"/>
        </w:rPr>
        <w:t>​</w:t>
      </w:r>
    </w:p>
    <w:p w14:paraId="4A627DED" w14:textId="77777777" w:rsidR="003716CB" w:rsidRPr="003716CB" w:rsidRDefault="003716CB" w:rsidP="003716CB">
      <w:pPr>
        <w:pStyle w:val="paragraph"/>
        <w:numPr>
          <w:ilvl w:val="0"/>
          <w:numId w:val="16"/>
        </w:numPr>
        <w:spacing w:before="0" w:beforeAutospacing="0" w:after="0" w:afterAutospacing="0"/>
        <w:ind w:left="1080" w:firstLine="0"/>
        <w:textAlignment w:val="baseline"/>
        <w:rPr>
          <w:sz w:val="20"/>
          <w:szCs w:val="20"/>
        </w:rPr>
      </w:pPr>
      <w:r w:rsidRPr="003716CB">
        <w:rPr>
          <w:rStyle w:val="normaltextrun"/>
          <w:position w:val="2"/>
          <w:sz w:val="20"/>
          <w:szCs w:val="20"/>
          <w:lang w:val="en-US"/>
        </w:rPr>
        <w:t>Introduce side condition for core requirement that BMRS can only be placed on PCC for the DL CA case with a single uplink.</w:t>
      </w:r>
      <w:r w:rsidRPr="003716CB">
        <w:rPr>
          <w:rStyle w:val="eop"/>
          <w:sz w:val="20"/>
          <w:szCs w:val="20"/>
        </w:rPr>
        <w:t>​</w:t>
      </w:r>
    </w:p>
    <w:p w14:paraId="3F85C537" w14:textId="77777777" w:rsidR="003716CB" w:rsidRPr="003716CB" w:rsidRDefault="003716CB" w:rsidP="003716CB">
      <w:pPr>
        <w:pStyle w:val="paragraph"/>
        <w:numPr>
          <w:ilvl w:val="0"/>
          <w:numId w:val="16"/>
        </w:numPr>
        <w:spacing w:before="0" w:beforeAutospacing="0" w:after="0" w:afterAutospacing="0"/>
        <w:ind w:left="1080" w:firstLine="0"/>
        <w:textAlignment w:val="baseline"/>
        <w:rPr>
          <w:sz w:val="20"/>
          <w:szCs w:val="20"/>
        </w:rPr>
      </w:pPr>
      <w:r w:rsidRPr="003716CB">
        <w:rPr>
          <w:rStyle w:val="normaltextrun"/>
          <w:position w:val="2"/>
          <w:sz w:val="20"/>
          <w:szCs w:val="20"/>
          <w:lang w:val="en-US"/>
        </w:rPr>
        <w:t>FFS whether to set side condition only for the worst case</w:t>
      </w:r>
      <w:r w:rsidRPr="003716CB">
        <w:rPr>
          <w:rStyle w:val="eop"/>
          <w:sz w:val="20"/>
          <w:szCs w:val="20"/>
        </w:rPr>
        <w:t>​</w:t>
      </w:r>
    </w:p>
    <w:p w14:paraId="09EB99D6" w14:textId="78C4FAF7" w:rsidR="003716CB" w:rsidRDefault="003716CB" w:rsidP="003716CB">
      <w:pPr>
        <w:pStyle w:val="paragraph"/>
        <w:numPr>
          <w:ilvl w:val="0"/>
          <w:numId w:val="16"/>
        </w:numPr>
        <w:spacing w:before="0" w:beforeAutospacing="0" w:after="0" w:afterAutospacing="0"/>
        <w:ind w:left="216" w:firstLine="0"/>
        <w:textAlignment w:val="baseline"/>
        <w:rPr>
          <w:rStyle w:val="eop"/>
          <w:sz w:val="20"/>
          <w:szCs w:val="20"/>
          <w:lang w:val="en-US"/>
        </w:rPr>
      </w:pPr>
      <w:r w:rsidRPr="003716CB">
        <w:rPr>
          <w:rStyle w:val="normaltextrun"/>
          <w:position w:val="2"/>
          <w:sz w:val="20"/>
          <w:szCs w:val="20"/>
          <w:highlight w:val="green"/>
          <w:lang w:val="en-US"/>
        </w:rPr>
        <w:t>GTW Agreement:</w:t>
      </w:r>
      <w:r w:rsidRPr="003716CB">
        <w:rPr>
          <w:rStyle w:val="normaltextrun"/>
          <w:position w:val="2"/>
          <w:sz w:val="20"/>
          <w:szCs w:val="20"/>
          <w:lang w:val="en-US"/>
        </w:rPr>
        <w:t> For test cases, further discussion on setup for testing to reduce the test burden and send LS to RAN5.</w:t>
      </w:r>
      <w:r w:rsidRPr="003716CB">
        <w:rPr>
          <w:rStyle w:val="eop"/>
          <w:sz w:val="20"/>
          <w:szCs w:val="20"/>
          <w:lang w:val="en-US"/>
        </w:rPr>
        <w:t>​</w:t>
      </w:r>
    </w:p>
    <w:p w14:paraId="37DCDBC7" w14:textId="77777777" w:rsidR="003716CB" w:rsidRPr="003716CB" w:rsidRDefault="003716CB" w:rsidP="003716CB">
      <w:pPr>
        <w:pStyle w:val="paragraph"/>
        <w:spacing w:before="0" w:beforeAutospacing="0" w:after="0" w:afterAutospacing="0"/>
        <w:textAlignment w:val="baseline"/>
        <w:rPr>
          <w:sz w:val="20"/>
          <w:szCs w:val="20"/>
          <w:lang w:val="en-US"/>
        </w:rPr>
      </w:pPr>
    </w:p>
    <w:p w14:paraId="6F10946B" w14:textId="5C62CB0D" w:rsidR="003716CB" w:rsidRDefault="003716CB" w:rsidP="003716CB">
      <w:pPr>
        <w:pStyle w:val="paragraph"/>
        <w:spacing w:before="0" w:beforeAutospacing="0" w:after="0" w:afterAutospacing="0"/>
        <w:textAlignment w:val="baseline"/>
        <w:rPr>
          <w:rStyle w:val="normaltextrun"/>
          <w:position w:val="2"/>
          <w:sz w:val="20"/>
          <w:szCs w:val="20"/>
          <w:lang w:val="en-US"/>
        </w:rPr>
      </w:pPr>
      <w:r>
        <w:rPr>
          <w:rStyle w:val="normaltextrun"/>
          <w:position w:val="2"/>
          <w:sz w:val="20"/>
          <w:szCs w:val="20"/>
          <w:lang w:val="en-US"/>
        </w:rPr>
        <w:t>There is a clear goal to limit the testing burden of FFR2 CA. Relating to this tt was agreed that requirements apply to all CCs despite if CC has BMRS or not. This is different approach that has been taken from TLE and FR1 where some Rx requirements apply only for the CC which do not have UL, see below.</w:t>
      </w:r>
    </w:p>
    <w:p w14:paraId="0D22EF27" w14:textId="0F894128" w:rsidR="003716CB" w:rsidRPr="003716CB" w:rsidRDefault="003716CB" w:rsidP="003716CB">
      <w:pPr>
        <w:pStyle w:val="paragraph"/>
        <w:spacing w:before="0" w:beforeAutospacing="0" w:after="0" w:afterAutospacing="0"/>
        <w:ind w:left="648"/>
        <w:textAlignment w:val="baseline"/>
        <w:rPr>
          <w:rStyle w:val="eop"/>
          <w:i/>
          <w:iCs/>
          <w:sz w:val="20"/>
          <w:szCs w:val="20"/>
          <w:lang w:val="en-US"/>
        </w:rPr>
      </w:pPr>
      <w:r w:rsidRPr="003716CB">
        <w:rPr>
          <w:rStyle w:val="normaltextrun"/>
          <w:i/>
          <w:iCs/>
          <w:position w:val="2"/>
          <w:sz w:val="20"/>
          <w:szCs w:val="20"/>
        </w:rPr>
        <w:t xml:space="preserve">For inter-band carrier aggregation with one component carrier per operating band and the uplink assigned to one NR band, the adjacent channel </w:t>
      </w:r>
      <w:r w:rsidRPr="003716CB">
        <w:rPr>
          <w:rStyle w:val="normaltextrun"/>
          <w:i/>
          <w:iCs/>
          <w:position w:val="2"/>
          <w:sz w:val="20"/>
          <w:szCs w:val="20"/>
          <w:highlight w:val="yellow"/>
        </w:rPr>
        <w:t>requirements are defined with the</w:t>
      </w:r>
      <w:r w:rsidRPr="003716CB">
        <w:rPr>
          <w:rStyle w:val="normaltextrun"/>
          <w:i/>
          <w:iCs/>
          <w:position w:val="2"/>
          <w:sz w:val="20"/>
          <w:szCs w:val="20"/>
        </w:rPr>
        <w:t> </w:t>
      </w:r>
      <w:r w:rsidRPr="003716CB">
        <w:rPr>
          <w:rStyle w:val="normaltextrun"/>
          <w:i/>
          <w:iCs/>
          <w:position w:val="2"/>
          <w:sz w:val="20"/>
          <w:szCs w:val="20"/>
          <w:highlight w:val="yellow"/>
        </w:rPr>
        <w:t>uplink active on the band(s) other than the band whose downlink is being tested.</w:t>
      </w:r>
      <w:r w:rsidRPr="003716CB">
        <w:rPr>
          <w:rStyle w:val="normaltextrun"/>
          <w:i/>
          <w:iCs/>
          <w:position w:val="2"/>
          <w:sz w:val="20"/>
          <w:szCs w:val="20"/>
        </w:rPr>
        <w:t> </w:t>
      </w:r>
      <w:r w:rsidRPr="003716CB">
        <w:rPr>
          <w:rStyle w:val="eop"/>
          <w:i/>
          <w:iCs/>
          <w:sz w:val="20"/>
          <w:szCs w:val="20"/>
          <w:lang w:val="en-US"/>
        </w:rPr>
        <w:t>​</w:t>
      </w:r>
    </w:p>
    <w:p w14:paraId="49855CC3" w14:textId="77777777" w:rsidR="003716CB" w:rsidRDefault="003716CB" w:rsidP="003716CB">
      <w:pPr>
        <w:pStyle w:val="paragraph"/>
        <w:spacing w:before="0" w:beforeAutospacing="0" w:after="0" w:afterAutospacing="0"/>
        <w:textAlignment w:val="baseline"/>
        <w:rPr>
          <w:rStyle w:val="eop"/>
          <w:sz w:val="20"/>
          <w:szCs w:val="20"/>
          <w:lang w:val="en-US"/>
        </w:rPr>
      </w:pPr>
    </w:p>
    <w:p w14:paraId="103D5E59" w14:textId="24136A32" w:rsidR="003716CB" w:rsidRPr="003716CB" w:rsidRDefault="003716CB" w:rsidP="003716CB">
      <w:pPr>
        <w:pStyle w:val="paragraph"/>
        <w:spacing w:before="0" w:beforeAutospacing="0" w:after="0" w:afterAutospacing="0"/>
        <w:textAlignment w:val="baseline"/>
        <w:rPr>
          <w:rStyle w:val="eop"/>
          <w:sz w:val="20"/>
          <w:szCs w:val="20"/>
        </w:rPr>
      </w:pPr>
      <w:r>
        <w:rPr>
          <w:rStyle w:val="eop"/>
          <w:sz w:val="20"/>
          <w:szCs w:val="20"/>
          <w:lang w:val="en-US"/>
        </w:rPr>
        <w:t xml:space="preserve">When this scheme was discussed in REL10 the intention was to limit the testing burden but still keeping sufficient test coverage. </w:t>
      </w:r>
      <w:r w:rsidRPr="003716CB">
        <w:rPr>
          <w:rStyle w:val="spellingerror"/>
          <w:position w:val="2"/>
          <w:sz w:val="20"/>
          <w:szCs w:val="20"/>
        </w:rPr>
        <w:t>Reasoning</w:t>
      </w:r>
      <w:r w:rsidRPr="003716CB">
        <w:rPr>
          <w:rStyle w:val="normaltextrun"/>
          <w:position w:val="2"/>
          <w:sz w:val="20"/>
          <w:szCs w:val="20"/>
        </w:rPr>
        <w:t> for </w:t>
      </w:r>
      <w:r w:rsidRPr="003716CB">
        <w:rPr>
          <w:rStyle w:val="spellingerror"/>
          <w:position w:val="2"/>
          <w:sz w:val="20"/>
          <w:szCs w:val="20"/>
        </w:rPr>
        <w:t>above</w:t>
      </w:r>
      <w:r w:rsidRPr="003716CB">
        <w:rPr>
          <w:rStyle w:val="normaltextrun"/>
          <w:position w:val="2"/>
          <w:sz w:val="20"/>
          <w:szCs w:val="20"/>
        </w:rPr>
        <w:t> </w:t>
      </w:r>
      <w:r w:rsidRPr="003716CB">
        <w:rPr>
          <w:rStyle w:val="spellingerror"/>
          <w:position w:val="2"/>
          <w:sz w:val="20"/>
          <w:szCs w:val="20"/>
        </w:rPr>
        <w:t>approach</w:t>
      </w:r>
      <w:r w:rsidRPr="003716CB">
        <w:rPr>
          <w:rStyle w:val="normaltextrun"/>
          <w:position w:val="2"/>
          <w:sz w:val="20"/>
          <w:szCs w:val="20"/>
        </w:rPr>
        <w:t> </w:t>
      </w:r>
      <w:r>
        <w:rPr>
          <w:rStyle w:val="normaltextrun"/>
          <w:position w:val="2"/>
          <w:sz w:val="20"/>
          <w:szCs w:val="20"/>
        </w:rPr>
        <w:t>wa</w:t>
      </w:r>
      <w:r w:rsidRPr="003716CB">
        <w:rPr>
          <w:rStyle w:val="normaltextrun"/>
          <w:position w:val="2"/>
          <w:sz w:val="20"/>
          <w:szCs w:val="20"/>
        </w:rPr>
        <w:t>s </w:t>
      </w:r>
      <w:r w:rsidRPr="003716CB">
        <w:rPr>
          <w:rStyle w:val="spellingerror"/>
          <w:position w:val="2"/>
          <w:sz w:val="20"/>
          <w:szCs w:val="20"/>
        </w:rPr>
        <w:t>that</w:t>
      </w:r>
      <w:r w:rsidRPr="003716CB">
        <w:rPr>
          <w:rStyle w:val="normaltextrun"/>
          <w:position w:val="2"/>
          <w:sz w:val="20"/>
          <w:szCs w:val="20"/>
        </w:rPr>
        <w:t> </w:t>
      </w:r>
      <w:r w:rsidRPr="003716CB">
        <w:rPr>
          <w:rStyle w:val="spellingerror"/>
          <w:position w:val="2"/>
          <w:sz w:val="20"/>
          <w:szCs w:val="20"/>
        </w:rPr>
        <w:t>the</w:t>
      </w:r>
      <w:r w:rsidRPr="003716CB">
        <w:rPr>
          <w:rStyle w:val="normaltextrun"/>
          <w:position w:val="2"/>
          <w:sz w:val="20"/>
          <w:szCs w:val="20"/>
        </w:rPr>
        <w:t> </w:t>
      </w:r>
      <w:r w:rsidRPr="003716CB">
        <w:rPr>
          <w:rStyle w:val="spellingerror"/>
          <w:position w:val="2"/>
          <w:sz w:val="20"/>
          <w:szCs w:val="20"/>
        </w:rPr>
        <w:t>band</w:t>
      </w:r>
      <w:r w:rsidRPr="003716CB">
        <w:rPr>
          <w:rStyle w:val="normaltextrun"/>
          <w:position w:val="2"/>
          <w:sz w:val="20"/>
          <w:szCs w:val="20"/>
        </w:rPr>
        <w:t> </w:t>
      </w:r>
      <w:r w:rsidRPr="003716CB">
        <w:rPr>
          <w:rStyle w:val="spellingerror"/>
          <w:position w:val="2"/>
          <w:sz w:val="20"/>
          <w:szCs w:val="20"/>
        </w:rPr>
        <w:t>which</w:t>
      </w:r>
      <w:r w:rsidRPr="003716CB">
        <w:rPr>
          <w:rStyle w:val="normaltextrun"/>
          <w:position w:val="2"/>
          <w:sz w:val="20"/>
          <w:szCs w:val="20"/>
        </w:rPr>
        <w:t> </w:t>
      </w:r>
      <w:r w:rsidRPr="003716CB">
        <w:rPr>
          <w:rStyle w:val="spellingerror"/>
          <w:position w:val="2"/>
          <w:sz w:val="20"/>
          <w:szCs w:val="20"/>
        </w:rPr>
        <w:t>has</w:t>
      </w:r>
      <w:r w:rsidRPr="003716CB">
        <w:rPr>
          <w:rStyle w:val="normaltextrun"/>
          <w:position w:val="2"/>
          <w:sz w:val="20"/>
          <w:szCs w:val="20"/>
        </w:rPr>
        <w:t> UL is </w:t>
      </w:r>
      <w:r w:rsidRPr="003716CB">
        <w:rPr>
          <w:rStyle w:val="spellingerror"/>
          <w:position w:val="2"/>
          <w:sz w:val="20"/>
          <w:szCs w:val="20"/>
        </w:rPr>
        <w:t>already</w:t>
      </w:r>
      <w:r w:rsidRPr="003716CB">
        <w:rPr>
          <w:rStyle w:val="normaltextrun"/>
          <w:position w:val="2"/>
          <w:sz w:val="20"/>
          <w:szCs w:val="20"/>
        </w:rPr>
        <w:t> </w:t>
      </w:r>
      <w:r w:rsidRPr="003716CB">
        <w:rPr>
          <w:rStyle w:val="spellingerror"/>
          <w:position w:val="2"/>
          <w:sz w:val="20"/>
          <w:szCs w:val="20"/>
        </w:rPr>
        <w:t>tested</w:t>
      </w:r>
      <w:r w:rsidRPr="003716CB">
        <w:rPr>
          <w:rStyle w:val="normaltextrun"/>
          <w:position w:val="2"/>
          <w:sz w:val="20"/>
          <w:szCs w:val="20"/>
        </w:rPr>
        <w:t> in single </w:t>
      </w:r>
      <w:r w:rsidRPr="003716CB">
        <w:rPr>
          <w:rStyle w:val="spellingerror"/>
          <w:position w:val="2"/>
          <w:sz w:val="20"/>
          <w:szCs w:val="20"/>
        </w:rPr>
        <w:t>band</w:t>
      </w:r>
      <w:r w:rsidRPr="003716CB">
        <w:rPr>
          <w:rStyle w:val="normaltextrun"/>
          <w:position w:val="2"/>
          <w:sz w:val="20"/>
          <w:szCs w:val="20"/>
        </w:rPr>
        <w:t> </w:t>
      </w:r>
      <w:r w:rsidRPr="003716CB">
        <w:rPr>
          <w:rStyle w:val="spellingerror"/>
          <w:position w:val="2"/>
          <w:sz w:val="20"/>
          <w:szCs w:val="20"/>
        </w:rPr>
        <w:t>mode</w:t>
      </w:r>
      <w:r w:rsidRPr="003716CB">
        <w:rPr>
          <w:rStyle w:val="normaltextrun"/>
          <w:position w:val="2"/>
          <w:sz w:val="20"/>
          <w:szCs w:val="20"/>
        </w:rPr>
        <w:t>.</w:t>
      </w:r>
      <w:r>
        <w:rPr>
          <w:rStyle w:val="eop"/>
          <w:sz w:val="20"/>
          <w:szCs w:val="20"/>
        </w:rPr>
        <w:t xml:space="preserve"> therefore performance was guaranteed.</w:t>
      </w:r>
    </w:p>
    <w:p w14:paraId="13247D30" w14:textId="444C1D98" w:rsidR="003716CB" w:rsidRDefault="003716CB" w:rsidP="003716CB">
      <w:pPr>
        <w:pStyle w:val="paragraph"/>
        <w:spacing w:before="0" w:beforeAutospacing="0" w:after="0" w:afterAutospacing="0"/>
        <w:textAlignment w:val="baseline"/>
        <w:rPr>
          <w:rStyle w:val="eop"/>
          <w:sz w:val="20"/>
          <w:szCs w:val="20"/>
          <w:lang w:val="en-US"/>
        </w:rPr>
      </w:pPr>
    </w:p>
    <w:p w14:paraId="4234F938" w14:textId="4CFF60A5" w:rsidR="003716CB" w:rsidRDefault="003716CB" w:rsidP="003716CB">
      <w:pPr>
        <w:pStyle w:val="paragraph"/>
        <w:spacing w:before="0" w:beforeAutospacing="0" w:after="0" w:afterAutospacing="0"/>
        <w:textAlignment w:val="baseline"/>
        <w:rPr>
          <w:sz w:val="20"/>
          <w:szCs w:val="20"/>
          <w:lang w:val="en-US"/>
        </w:rPr>
      </w:pPr>
      <w:r>
        <w:rPr>
          <w:sz w:val="20"/>
          <w:szCs w:val="20"/>
          <w:lang w:val="en-US"/>
        </w:rPr>
        <w:t xml:space="preserve">Now for FR2 RAN4 needs to do this bit differently as core requirement is agreed to be different. But the LTE and FR1 principle could be re-used because DL with UL is already tested, TDD has no UL interference, DL without UL has no BMRS therefore it is the worst-case condition. </w:t>
      </w:r>
    </w:p>
    <w:p w14:paraId="7C2B877C" w14:textId="2CF98F51" w:rsidR="003716CB" w:rsidRDefault="003716CB" w:rsidP="003716CB">
      <w:pPr>
        <w:pStyle w:val="paragraph"/>
        <w:spacing w:before="0" w:beforeAutospacing="0" w:after="0" w:afterAutospacing="0"/>
        <w:textAlignment w:val="baseline"/>
        <w:rPr>
          <w:sz w:val="20"/>
          <w:szCs w:val="20"/>
          <w:lang w:val="en-US"/>
        </w:rPr>
      </w:pPr>
    </w:p>
    <w:p w14:paraId="26211BD3" w14:textId="77777777" w:rsidR="006B5C52" w:rsidRDefault="006B5C52" w:rsidP="006B5C52">
      <w:pPr>
        <w:pStyle w:val="paragraph"/>
        <w:spacing w:before="0" w:beforeAutospacing="0" w:after="0" w:afterAutospacing="0"/>
        <w:textAlignment w:val="baseline"/>
        <w:rPr>
          <w:b/>
          <w:bCs/>
          <w:sz w:val="20"/>
          <w:szCs w:val="20"/>
          <w:lang w:val="en-US"/>
        </w:rPr>
      </w:pPr>
      <w:r w:rsidRPr="003716CB">
        <w:rPr>
          <w:b/>
          <w:bCs/>
          <w:sz w:val="20"/>
          <w:szCs w:val="20"/>
          <w:lang w:val="en-US"/>
        </w:rPr>
        <w:t>Proposal</w:t>
      </w:r>
      <w:r>
        <w:rPr>
          <w:b/>
          <w:bCs/>
          <w:sz w:val="20"/>
          <w:szCs w:val="20"/>
          <w:lang w:val="en-US"/>
        </w:rPr>
        <w:t xml:space="preserve"> 1</w:t>
      </w:r>
      <w:r w:rsidRPr="003716CB">
        <w:rPr>
          <w:b/>
          <w:bCs/>
          <w:sz w:val="20"/>
          <w:szCs w:val="20"/>
          <w:lang w:val="en-US"/>
        </w:rPr>
        <w:t>:</w:t>
      </w:r>
      <w:r>
        <w:rPr>
          <w:b/>
          <w:bCs/>
          <w:sz w:val="20"/>
          <w:szCs w:val="20"/>
          <w:lang w:val="en-US"/>
        </w:rPr>
        <w:t xml:space="preserve"> FR2 DL CBM UE CA REFSENS is tested from all bands with all bands active. Maximum input level, ACS and blocking is tested only from bands which do not have UL CC and BMRS.</w:t>
      </w:r>
    </w:p>
    <w:p w14:paraId="3A904771" w14:textId="77777777" w:rsidR="003716CB" w:rsidRDefault="003716CB" w:rsidP="003716CB">
      <w:pPr>
        <w:pStyle w:val="paragraph"/>
        <w:spacing w:before="0" w:beforeAutospacing="0" w:after="0" w:afterAutospacing="0"/>
        <w:textAlignment w:val="baseline"/>
        <w:rPr>
          <w:sz w:val="20"/>
          <w:szCs w:val="20"/>
          <w:lang w:val="en-US"/>
        </w:rPr>
      </w:pPr>
    </w:p>
    <w:p w14:paraId="37182D5B" w14:textId="6827DBC9" w:rsidR="003716CB" w:rsidRPr="003716CB" w:rsidRDefault="003716CB" w:rsidP="003716CB">
      <w:pPr>
        <w:pStyle w:val="paragraph"/>
        <w:spacing w:before="0" w:beforeAutospacing="0" w:after="0" w:afterAutospacing="0"/>
        <w:textAlignment w:val="baseline"/>
        <w:rPr>
          <w:sz w:val="20"/>
          <w:szCs w:val="20"/>
          <w:lang w:val="en-US"/>
        </w:rPr>
      </w:pPr>
      <w:r>
        <w:rPr>
          <w:sz w:val="20"/>
          <w:szCs w:val="20"/>
          <w:lang w:val="en-US"/>
        </w:rPr>
        <w:t>How to do this</w:t>
      </w:r>
    </w:p>
    <w:p w14:paraId="497A6B4F" w14:textId="546864DC" w:rsidR="003716CB" w:rsidRPr="003716CB" w:rsidRDefault="003716CB" w:rsidP="003716CB">
      <w:pPr>
        <w:pStyle w:val="paragraph"/>
        <w:numPr>
          <w:ilvl w:val="0"/>
          <w:numId w:val="17"/>
        </w:numPr>
        <w:spacing w:before="0" w:beforeAutospacing="0" w:after="0" w:afterAutospacing="0"/>
        <w:ind w:left="216" w:firstLine="0"/>
        <w:textAlignment w:val="baseline"/>
        <w:rPr>
          <w:rStyle w:val="spellingerror"/>
          <w:sz w:val="20"/>
          <w:szCs w:val="20"/>
          <w:lang w:val="en-US"/>
        </w:rPr>
      </w:pPr>
      <w:r w:rsidRPr="003716CB">
        <w:rPr>
          <w:rStyle w:val="normaltextrun"/>
          <w:position w:val="2"/>
          <w:sz w:val="20"/>
          <w:szCs w:val="20"/>
        </w:rPr>
        <w:t>a side </w:t>
      </w:r>
      <w:r w:rsidRPr="003716CB">
        <w:rPr>
          <w:rStyle w:val="spellingerror"/>
          <w:position w:val="2"/>
          <w:sz w:val="20"/>
          <w:szCs w:val="20"/>
        </w:rPr>
        <w:t>condition</w:t>
      </w:r>
      <w:r w:rsidRPr="003716CB">
        <w:rPr>
          <w:rStyle w:val="normaltextrun"/>
          <w:position w:val="2"/>
          <w:sz w:val="20"/>
          <w:szCs w:val="20"/>
        </w:rPr>
        <w:t> in RAN4 </w:t>
      </w:r>
      <w:r w:rsidRPr="003716CB">
        <w:rPr>
          <w:rStyle w:val="spellingerror"/>
          <w:position w:val="2"/>
          <w:sz w:val="20"/>
          <w:szCs w:val="20"/>
        </w:rPr>
        <w:t>spec</w:t>
      </w:r>
      <w:r>
        <w:rPr>
          <w:rStyle w:val="spellingerror"/>
          <w:position w:val="2"/>
          <w:sz w:val="20"/>
          <w:szCs w:val="20"/>
        </w:rPr>
        <w:t>?</w:t>
      </w:r>
    </w:p>
    <w:p w14:paraId="1D594920" w14:textId="58344807" w:rsidR="003716CB" w:rsidRPr="003716CB" w:rsidRDefault="003716CB" w:rsidP="003716CB">
      <w:pPr>
        <w:pStyle w:val="paragraph"/>
        <w:numPr>
          <w:ilvl w:val="0"/>
          <w:numId w:val="17"/>
        </w:numPr>
        <w:spacing w:before="0" w:beforeAutospacing="0" w:after="0" w:afterAutospacing="0"/>
        <w:ind w:left="216" w:firstLine="0"/>
        <w:textAlignment w:val="baseline"/>
        <w:rPr>
          <w:sz w:val="20"/>
          <w:szCs w:val="20"/>
          <w:lang w:val="en-US"/>
        </w:rPr>
      </w:pPr>
      <w:r>
        <w:rPr>
          <w:rStyle w:val="spellingerror"/>
          <w:position w:val="2"/>
          <w:sz w:val="20"/>
          <w:szCs w:val="20"/>
        </w:rPr>
        <w:t xml:space="preserve">Send LS to RAN5 and inform them on this agreement and with this it is </w:t>
      </w:r>
      <w:r w:rsidRPr="003716CB">
        <w:rPr>
          <w:rStyle w:val="spellingerror"/>
          <w:position w:val="2"/>
          <w:sz w:val="20"/>
          <w:szCs w:val="20"/>
        </w:rPr>
        <w:t>captured</w:t>
      </w:r>
      <w:r w:rsidRPr="003716CB">
        <w:rPr>
          <w:rStyle w:val="normaltextrun"/>
          <w:position w:val="2"/>
          <w:sz w:val="20"/>
          <w:szCs w:val="20"/>
        </w:rPr>
        <w:t> in RAN5 </w:t>
      </w:r>
      <w:r w:rsidRPr="003716CB">
        <w:rPr>
          <w:rStyle w:val="spellingerror"/>
          <w:position w:val="2"/>
          <w:sz w:val="20"/>
          <w:szCs w:val="20"/>
        </w:rPr>
        <w:t>spec</w:t>
      </w:r>
      <w:r w:rsidRPr="003716CB">
        <w:rPr>
          <w:rStyle w:val="normaltextrun"/>
          <w:position w:val="2"/>
          <w:sz w:val="20"/>
          <w:szCs w:val="20"/>
        </w:rPr>
        <w:t>?</w:t>
      </w:r>
    </w:p>
    <w:p w14:paraId="76540869" w14:textId="77777777" w:rsidR="003716CB" w:rsidRPr="003716CB" w:rsidRDefault="003716CB" w:rsidP="003716CB"/>
    <w:p w14:paraId="5C2C1130" w14:textId="6EA48937" w:rsidR="008C1A8F" w:rsidRDefault="00C558EA" w:rsidP="00C558EA">
      <w:pPr>
        <w:pStyle w:val="Heading2"/>
      </w:pPr>
      <w:r>
        <w:t>2.2</w:t>
      </w:r>
      <w:r>
        <w:tab/>
      </w:r>
      <w:r w:rsidRPr="00C558EA">
        <w:t>Fs_inter_CBM</w:t>
      </w:r>
    </w:p>
    <w:p w14:paraId="3930E8CF" w14:textId="07C377DB" w:rsidR="00C558EA" w:rsidRDefault="00C558EA" w:rsidP="00C558EA">
      <w:r>
        <w:t xml:space="preserve">In WF[1] the </w:t>
      </w:r>
      <w:r w:rsidRPr="00C558EA">
        <w:t>Fs_inter_CBM</w:t>
      </w:r>
      <w:r>
        <w:t xml:space="preserve"> is still FFS. </w:t>
      </w:r>
      <w:r w:rsidR="00C87341">
        <w:t xml:space="preserve">As a background </w:t>
      </w:r>
      <w:r w:rsidR="00FD1BDD">
        <w:t>R</w:t>
      </w:r>
      <w:r w:rsidR="00C87341">
        <w:t>el</w:t>
      </w:r>
      <w:r w:rsidR="00FD1BDD">
        <w:t xml:space="preserve">15 non-contiguous intraband CA have parameter called </w:t>
      </w:r>
      <w:r w:rsidR="00E772D6" w:rsidRPr="00E772D6">
        <w:t>Frequency separation class</w:t>
      </w:r>
      <w:r w:rsidR="00E772D6">
        <w:t xml:space="preserve"> Fs which indicates the CC separation UE is capable of.</w:t>
      </w:r>
      <w:r w:rsidR="00303D30">
        <w:t xml:space="preserve"> It has been proposed in RAN4 many times </w:t>
      </w:r>
      <w:r w:rsidR="00B024B2">
        <w:t>that</w:t>
      </w:r>
      <w:r w:rsidR="005639AE">
        <w:t xml:space="preserve"> similar capability is </w:t>
      </w:r>
      <w:r w:rsidR="00F4005A">
        <w:t xml:space="preserve">introduced </w:t>
      </w:r>
      <w:r w:rsidR="002243FF">
        <w:t>for interband CA based on CBM.</w:t>
      </w:r>
    </w:p>
    <w:p w14:paraId="4F3542FE" w14:textId="2D457F8D" w:rsidR="006D7FE2" w:rsidRDefault="00074F77" w:rsidP="006D7FE2">
      <w:pPr>
        <w:rPr>
          <w:lang w:val="en-US"/>
        </w:rPr>
      </w:pPr>
      <w:r>
        <w:lastRenderedPageBreak/>
        <w:t>However,</w:t>
      </w:r>
      <w:r w:rsidR="002243FF">
        <w:t xml:space="preserve"> there are differences between intraband and interband CA</w:t>
      </w:r>
      <w:r w:rsidR="008104EF">
        <w:t xml:space="preserve"> where intraband CA assume</w:t>
      </w:r>
      <w:r w:rsidR="00B64408">
        <w:t>s</w:t>
      </w:r>
      <w:r w:rsidR="008104EF">
        <w:t xml:space="preserve"> </w:t>
      </w:r>
      <w:r w:rsidR="00B64408">
        <w:t xml:space="preserve">single receiver CBM architecture interband CA </w:t>
      </w:r>
      <w:r w:rsidR="00C8798C">
        <w:t>can be</w:t>
      </w:r>
      <w:r w:rsidR="006D7FE2" w:rsidRPr="006D7FE2">
        <w:rPr>
          <w:lang w:val="en-US"/>
        </w:rPr>
        <w:t xml:space="preserve"> either </w:t>
      </w:r>
      <w:r w:rsidR="00A1532A">
        <w:rPr>
          <w:lang w:val="en-US"/>
        </w:rPr>
        <w:t>single</w:t>
      </w:r>
      <w:r w:rsidR="00C8798C">
        <w:rPr>
          <w:lang w:val="en-US"/>
        </w:rPr>
        <w:t xml:space="preserve"> </w:t>
      </w:r>
      <w:r w:rsidR="00A1532A">
        <w:rPr>
          <w:lang w:val="en-US"/>
        </w:rPr>
        <w:t xml:space="preserve">chain </w:t>
      </w:r>
      <w:r w:rsidR="00FF78F4">
        <w:rPr>
          <w:lang w:val="en-US"/>
        </w:rPr>
        <w:t>(</w:t>
      </w:r>
      <w:r w:rsidR="00C8798C">
        <w:rPr>
          <w:lang w:val="en-US"/>
        </w:rPr>
        <w:t>SC-CBM</w:t>
      </w:r>
      <w:r w:rsidR="00FF78F4">
        <w:rPr>
          <w:lang w:val="en-US"/>
        </w:rPr>
        <w:t>)</w:t>
      </w:r>
      <w:r w:rsidR="006D7FE2" w:rsidRPr="006D7FE2">
        <w:rPr>
          <w:lang w:val="en-US"/>
        </w:rPr>
        <w:t xml:space="preserve"> or </w:t>
      </w:r>
      <w:r w:rsidR="00A1532A">
        <w:rPr>
          <w:lang w:val="en-US"/>
        </w:rPr>
        <w:t>multi chain</w:t>
      </w:r>
      <w:r w:rsidR="006D7FE2" w:rsidRPr="006D7FE2">
        <w:rPr>
          <w:lang w:val="en-US"/>
        </w:rPr>
        <w:t xml:space="preserve"> </w:t>
      </w:r>
      <w:r w:rsidR="00FF78F4">
        <w:rPr>
          <w:lang w:val="en-US"/>
        </w:rPr>
        <w:t>(</w:t>
      </w:r>
      <w:r w:rsidR="00427163">
        <w:rPr>
          <w:lang w:val="en-US"/>
        </w:rPr>
        <w:t>MC-CBM</w:t>
      </w:r>
      <w:r w:rsidR="00FF78F4">
        <w:rPr>
          <w:lang w:val="en-US"/>
        </w:rPr>
        <w:t>)</w:t>
      </w:r>
      <w:r w:rsidR="00427163">
        <w:rPr>
          <w:lang w:val="en-US"/>
        </w:rPr>
        <w:t xml:space="preserve"> </w:t>
      </w:r>
      <w:r w:rsidR="006D7FE2" w:rsidRPr="006D7FE2">
        <w:rPr>
          <w:lang w:val="en-US"/>
        </w:rPr>
        <w:t>rec</w:t>
      </w:r>
      <w:r w:rsidR="00A1532A">
        <w:rPr>
          <w:lang w:val="en-US"/>
        </w:rPr>
        <w:t>iever</w:t>
      </w:r>
      <w:r w:rsidR="006D7FE2" w:rsidRPr="006D7FE2">
        <w:rPr>
          <w:lang w:val="en-US"/>
        </w:rPr>
        <w:t xml:space="preserve"> with separate mixers​</w:t>
      </w:r>
      <w:r w:rsidR="00C8798C">
        <w:rPr>
          <w:lang w:val="en-US"/>
        </w:rPr>
        <w:t>.</w:t>
      </w:r>
      <w:r w:rsidR="00427163">
        <w:rPr>
          <w:lang w:val="en-US"/>
        </w:rPr>
        <w:t xml:space="preserve"> MC-CBM is very similar</w:t>
      </w:r>
      <w:r w:rsidR="00FF78F4">
        <w:rPr>
          <w:lang w:val="en-US"/>
        </w:rPr>
        <w:t xml:space="preserve"> to IBM UE and does not suffer from limitation of Fs</w:t>
      </w:r>
      <w:r w:rsidR="00B43836">
        <w:rPr>
          <w:lang w:val="en-US"/>
        </w:rPr>
        <w:t>_Inter</w:t>
      </w:r>
      <w:r w:rsidR="00FF78F4">
        <w:rPr>
          <w:lang w:val="en-US"/>
        </w:rPr>
        <w:t>.</w:t>
      </w:r>
      <w:r w:rsidR="00054F87">
        <w:rPr>
          <w:lang w:val="en-US"/>
        </w:rPr>
        <w:t xml:space="preserve"> It is only SC-CBM UE that would benefit from Fs_Inter and this relaxation </w:t>
      </w:r>
      <w:r w:rsidR="00621A47">
        <w:rPr>
          <w:lang w:val="en-US"/>
        </w:rPr>
        <w:t>must not be granted to MC-CBM</w:t>
      </w:r>
      <w:r w:rsidR="00B43836">
        <w:rPr>
          <w:lang w:val="en-US"/>
        </w:rPr>
        <w:t xml:space="preserve"> nor IBM</w:t>
      </w:r>
      <w:r w:rsidR="00621A47">
        <w:rPr>
          <w:lang w:val="en-US"/>
        </w:rPr>
        <w:t>.</w:t>
      </w:r>
      <w:r w:rsidR="007D1172">
        <w:rPr>
          <w:lang w:val="en-US"/>
        </w:rPr>
        <w:t xml:space="preserve"> But how to guarantee that MC-CBM UE do not advertise Fs_Inter (if it is introduced) </w:t>
      </w:r>
      <w:r w:rsidR="00B43836">
        <w:rPr>
          <w:lang w:val="en-US"/>
        </w:rPr>
        <w:t xml:space="preserve">as </w:t>
      </w:r>
      <w:r w:rsidR="007D1172">
        <w:rPr>
          <w:lang w:val="en-US"/>
        </w:rPr>
        <w:t xml:space="preserve">RAN4 has agreed [1] </w:t>
      </w:r>
      <w:r w:rsidR="00B94D69">
        <w:rPr>
          <w:lang w:val="en-US"/>
        </w:rPr>
        <w:t>that there will not be UE capability to differentiate SC-CBM and MC-CBM.</w:t>
      </w:r>
      <w:r w:rsidR="00C1593F">
        <w:rPr>
          <w:lang w:val="en-US"/>
        </w:rPr>
        <w:t xml:space="preserve"> </w:t>
      </w:r>
    </w:p>
    <w:p w14:paraId="54049523" w14:textId="27B598B5" w:rsidR="00C1593F" w:rsidRDefault="00C1593F" w:rsidP="006D7FE2">
      <w:pPr>
        <w:rPr>
          <w:lang w:val="en-US"/>
        </w:rPr>
      </w:pPr>
      <w:r>
        <w:rPr>
          <w:lang w:val="en-US"/>
        </w:rPr>
        <w:t xml:space="preserve">So network do not know if UE is </w:t>
      </w:r>
      <w:r w:rsidR="007A2553">
        <w:rPr>
          <w:lang w:val="en-US"/>
        </w:rPr>
        <w:t xml:space="preserve">SC-CBM </w:t>
      </w:r>
      <w:r w:rsidR="00771168">
        <w:rPr>
          <w:lang w:val="en-US"/>
        </w:rPr>
        <w:t>or</w:t>
      </w:r>
      <w:r w:rsidR="007A2553">
        <w:rPr>
          <w:lang w:val="en-US"/>
        </w:rPr>
        <w:t xml:space="preserve"> MC-CBM</w:t>
      </w:r>
      <w:r w:rsidR="004C48AB">
        <w:rPr>
          <w:lang w:val="en-US"/>
        </w:rPr>
        <w:t xml:space="preserve"> therefore it cannot judge if UE asks Fs_Inter limitation </w:t>
      </w:r>
      <w:r w:rsidR="00E64764">
        <w:rPr>
          <w:lang w:val="en-US"/>
        </w:rPr>
        <w:t>without technical justification.</w:t>
      </w:r>
      <w:r w:rsidR="00A45E1D">
        <w:rPr>
          <w:lang w:val="en-US"/>
        </w:rPr>
        <w:t xml:space="preserve"> Alternative to Fs_inter </w:t>
      </w:r>
      <w:r w:rsidR="00040440">
        <w:rPr>
          <w:lang w:val="en-US"/>
        </w:rPr>
        <w:t>is to define REFSENS relaxation as a function of frequency separation. This is more</w:t>
      </w:r>
      <w:r w:rsidR="00036E60">
        <w:rPr>
          <w:lang w:val="en-US"/>
        </w:rPr>
        <w:t xml:space="preserve"> </w:t>
      </w:r>
      <w:r w:rsidR="00040440">
        <w:rPr>
          <w:lang w:val="en-US"/>
        </w:rPr>
        <w:t>proper way in our view than using Fs_inter</w:t>
      </w:r>
      <w:r w:rsidR="00036E60">
        <w:rPr>
          <w:lang w:val="en-US"/>
        </w:rPr>
        <w:t xml:space="preserve"> because then network can configure CA based on just band combination </w:t>
      </w:r>
      <w:r w:rsidR="00771168">
        <w:rPr>
          <w:lang w:val="en-US"/>
        </w:rPr>
        <w:t xml:space="preserve">capability </w:t>
      </w:r>
      <w:r w:rsidR="00036E60">
        <w:rPr>
          <w:lang w:val="en-US"/>
        </w:rPr>
        <w:t>and do not need to think about CC frequency separation.</w:t>
      </w:r>
      <w:r w:rsidR="00F74726">
        <w:rPr>
          <w:lang w:val="en-US"/>
        </w:rPr>
        <w:t xml:space="preserve"> DL CA is anyways optional feature and IBM and MC-CBM UEs do not need Fs_inter</w:t>
      </w:r>
      <w:r w:rsidR="005E748D">
        <w:rPr>
          <w:lang w:val="en-US"/>
        </w:rPr>
        <w:t xml:space="preserve"> therefore if someone wants to support DL CA they can consider using those architectures if their SC-CBM UE is not </w:t>
      </w:r>
      <w:r w:rsidR="00055823">
        <w:rPr>
          <w:lang w:val="en-US"/>
        </w:rPr>
        <w:t>capable</w:t>
      </w:r>
      <w:r w:rsidR="005E748D">
        <w:rPr>
          <w:lang w:val="en-US"/>
        </w:rPr>
        <w:t xml:space="preserve"> enough even with REFSENS relaxation.</w:t>
      </w:r>
    </w:p>
    <w:p w14:paraId="3C2F89CC" w14:textId="3BC731C3" w:rsidR="005E748D" w:rsidRPr="006D7FE2" w:rsidRDefault="005E748D" w:rsidP="006D7FE2">
      <w:pPr>
        <w:rPr>
          <w:lang w:val="en-US"/>
        </w:rPr>
      </w:pPr>
      <w:r>
        <w:rPr>
          <w:lang w:val="en-US"/>
        </w:rPr>
        <w:t>So instead of Fs_inter RAN4 should only define REFSENS relaxation and that relaxation in RAN5 is only allowed for SC-CBM based on manufacturer declaration.</w:t>
      </w:r>
    </w:p>
    <w:p w14:paraId="4957EF47" w14:textId="7F690828" w:rsidR="006D7FE2" w:rsidRDefault="00055823" w:rsidP="006D7FE2">
      <w:pPr>
        <w:rPr>
          <w:b/>
          <w:bCs/>
          <w:lang w:val="en-US"/>
        </w:rPr>
      </w:pPr>
      <w:r w:rsidRPr="001541F1">
        <w:rPr>
          <w:b/>
          <w:bCs/>
          <w:lang w:val="en-US"/>
        </w:rPr>
        <w:t xml:space="preserve">Proposal 2: RAN4 will not define Fs_Inter but it will define </w:t>
      </w:r>
      <w:r w:rsidR="00E044AA" w:rsidRPr="001541F1">
        <w:rPr>
          <w:b/>
          <w:bCs/>
          <w:lang w:val="en-US"/>
        </w:rPr>
        <w:t>EIS Relaxation</w:t>
      </w:r>
      <w:r w:rsidR="001541F1" w:rsidRPr="001541F1">
        <w:rPr>
          <w:b/>
          <w:bCs/>
          <w:lang w:val="en-US"/>
        </w:rPr>
        <w:t xml:space="preserve"> as a function of frequency separation. This relaxation is only applicable for SC</w:t>
      </w:r>
      <w:r w:rsidR="0007785F">
        <w:rPr>
          <w:b/>
          <w:bCs/>
          <w:lang w:val="en-US"/>
        </w:rPr>
        <w:t>-</w:t>
      </w:r>
      <w:r w:rsidR="001541F1" w:rsidRPr="001541F1">
        <w:rPr>
          <w:b/>
          <w:bCs/>
          <w:lang w:val="en-US"/>
        </w:rPr>
        <w:t>CBM UEs.</w:t>
      </w:r>
    </w:p>
    <w:p w14:paraId="6A6CD9C7" w14:textId="4530E7E9" w:rsidR="00826A62" w:rsidRDefault="00826A62" w:rsidP="00826A62">
      <w:pPr>
        <w:pStyle w:val="Heading2"/>
        <w:rPr>
          <w:lang w:val="en-US"/>
        </w:rPr>
      </w:pPr>
      <w:r>
        <w:rPr>
          <w:lang w:val="en-US"/>
        </w:rPr>
        <w:t>2.3</w:t>
      </w:r>
      <w:r>
        <w:rPr>
          <w:lang w:val="en-US"/>
        </w:rPr>
        <w:tab/>
      </w:r>
      <w:r w:rsidR="00643779">
        <w:rPr>
          <w:lang w:val="en-US"/>
        </w:rPr>
        <w:t>Sensitivity requirements</w:t>
      </w:r>
    </w:p>
    <w:p w14:paraId="4D52C63D" w14:textId="76DFBB4C" w:rsidR="00643779" w:rsidRDefault="00643779" w:rsidP="00643779">
      <w:pPr>
        <w:rPr>
          <w:lang w:val="en-US"/>
        </w:rPr>
      </w:pPr>
      <w:r>
        <w:rPr>
          <w:lang w:val="en-US"/>
        </w:rPr>
        <w:t>WF[1] had following</w:t>
      </w:r>
    </w:p>
    <w:p w14:paraId="2E9394B6" w14:textId="77777777" w:rsidR="00A7099D" w:rsidRPr="00A7099D" w:rsidRDefault="00A7099D" w:rsidP="00A7099D">
      <w:pPr>
        <w:numPr>
          <w:ilvl w:val="0"/>
          <w:numId w:val="18"/>
        </w:numPr>
        <w:rPr>
          <w:lang w:val="en-US"/>
        </w:rPr>
      </w:pPr>
      <w:r w:rsidRPr="00A7099D">
        <w:rPr>
          <w:lang w:val="en-US"/>
        </w:rPr>
        <w:t>GTW Agreement: RAN4 agree to introduce REFSENS and EIS spherical coverage requirements based on IBM inter-band CA framework.​</w:t>
      </w:r>
    </w:p>
    <w:p w14:paraId="6EBCD664" w14:textId="77777777" w:rsidR="00A7099D" w:rsidRPr="00A7099D" w:rsidRDefault="00A7099D" w:rsidP="00A7099D">
      <w:pPr>
        <w:numPr>
          <w:ilvl w:val="1"/>
          <w:numId w:val="18"/>
        </w:numPr>
        <w:rPr>
          <w:lang w:val="en-US"/>
        </w:rPr>
      </w:pPr>
      <w:r w:rsidRPr="00A7099D">
        <w:rPr>
          <w:lang w:val="en-US"/>
        </w:rPr>
        <w:t>FFS on the values for the requirements​</w:t>
      </w:r>
    </w:p>
    <w:p w14:paraId="5D79B715" w14:textId="77777777" w:rsidR="00A7099D" w:rsidRPr="00A7099D" w:rsidRDefault="00A7099D" w:rsidP="00A7099D">
      <w:pPr>
        <w:numPr>
          <w:ilvl w:val="1"/>
          <w:numId w:val="18"/>
        </w:numPr>
        <w:rPr>
          <w:lang w:val="en-US"/>
        </w:rPr>
      </w:pPr>
      <w:r w:rsidRPr="00A7099D">
        <w:rPr>
          <w:lang w:val="en-US"/>
        </w:rPr>
        <w:t>FFS whether there is PSD difference and what is the difference​</w:t>
      </w:r>
    </w:p>
    <w:p w14:paraId="21718B1B" w14:textId="77777777" w:rsidR="00A7099D" w:rsidRPr="00A7099D" w:rsidRDefault="00A7099D" w:rsidP="00A7099D">
      <w:pPr>
        <w:numPr>
          <w:ilvl w:val="1"/>
          <w:numId w:val="18"/>
        </w:numPr>
        <w:rPr>
          <w:lang w:val="en-US"/>
        </w:rPr>
      </w:pPr>
      <w:r w:rsidRPr="00A7099D">
        <w:rPr>
          <w:lang w:val="en-US"/>
        </w:rPr>
        <w:t>FFS the impact of frequency separation</w:t>
      </w:r>
    </w:p>
    <w:p w14:paraId="00213A64" w14:textId="4676629C" w:rsidR="00A7099D" w:rsidRDefault="002553E2" w:rsidP="00643779">
      <w:pPr>
        <w:rPr>
          <w:rFonts w:eastAsia="Malgun Gothic"/>
        </w:rPr>
      </w:pPr>
      <w:r>
        <w:rPr>
          <w:lang w:val="en-US"/>
        </w:rPr>
        <w:t xml:space="preserve">Agreement is to use IBM framework </w:t>
      </w:r>
      <w:r w:rsidR="00D71910">
        <w:rPr>
          <w:lang w:val="en-US"/>
        </w:rPr>
        <w:t xml:space="preserve">but </w:t>
      </w:r>
      <w:r w:rsidR="00D71910" w:rsidRPr="00D71910">
        <w:rPr>
          <w:rFonts w:ascii="Arial" w:eastAsia="Malgun Gothic" w:hAnsi="Arial"/>
          <w:bCs/>
          <w:sz w:val="18"/>
        </w:rPr>
        <w:t>ΔR</w:t>
      </w:r>
      <w:r w:rsidR="00D71910" w:rsidRPr="00D71910">
        <w:rPr>
          <w:rFonts w:ascii="Arial" w:eastAsia="Malgun Gothic" w:hAnsi="Arial"/>
          <w:bCs/>
          <w:sz w:val="18"/>
          <w:vertAlign w:val="subscript"/>
        </w:rPr>
        <w:t>IB,P,n</w:t>
      </w:r>
      <w:r w:rsidR="00D71910" w:rsidRPr="00D71910">
        <w:rPr>
          <w:rFonts w:ascii="Arial" w:eastAsia="Malgun Gothic" w:hAnsi="Arial"/>
          <w:bCs/>
          <w:sz w:val="18"/>
        </w:rPr>
        <w:t xml:space="preserve"> and </w:t>
      </w:r>
      <w:r w:rsidR="00D62037" w:rsidRPr="00D71910">
        <w:rPr>
          <w:rFonts w:ascii="Arial" w:eastAsia="Malgun Gothic" w:hAnsi="Arial"/>
          <w:bCs/>
          <w:sz w:val="18"/>
        </w:rPr>
        <w:t>ΔR</w:t>
      </w:r>
      <w:r w:rsidR="00D62037" w:rsidRPr="00D71910">
        <w:rPr>
          <w:rFonts w:ascii="Arial" w:eastAsia="Malgun Gothic" w:hAnsi="Arial"/>
          <w:bCs/>
          <w:sz w:val="18"/>
          <w:vertAlign w:val="subscript"/>
        </w:rPr>
        <w:t>IB,S,n</w:t>
      </w:r>
      <w:r w:rsidR="00D71910">
        <w:rPr>
          <w:rFonts w:eastAsia="Malgun Gothic"/>
        </w:rPr>
        <w:t xml:space="preserve"> needs to be agreed case by case</w:t>
      </w:r>
      <w:r w:rsidR="00135D1C">
        <w:rPr>
          <w:rFonts w:eastAsia="Malgun Gothic"/>
        </w:rPr>
        <w:t>. Before that is possible RAN4 needs to agree side condition such as PSD difference.</w:t>
      </w:r>
      <w:r w:rsidR="00204FAE">
        <w:rPr>
          <w:rFonts w:eastAsia="Malgun Gothic"/>
        </w:rPr>
        <w:t xml:space="preserve"> Equal PSD </w:t>
      </w:r>
      <w:r w:rsidR="00BF6D5C">
        <w:rPr>
          <w:rFonts w:eastAsia="Malgun Gothic"/>
        </w:rPr>
        <w:t xml:space="preserve">assumption </w:t>
      </w:r>
      <w:r w:rsidR="004802E7">
        <w:rPr>
          <w:rFonts w:eastAsia="Malgun Gothic"/>
        </w:rPr>
        <w:t xml:space="preserve">for </w:t>
      </w:r>
      <w:r w:rsidR="00204FAE">
        <w:rPr>
          <w:rFonts w:eastAsia="Malgun Gothic"/>
        </w:rPr>
        <w:t>CBM UE</w:t>
      </w:r>
      <w:r w:rsidR="00BF6D5C">
        <w:rPr>
          <w:rFonts w:eastAsia="Malgun Gothic"/>
        </w:rPr>
        <w:t xml:space="preserve"> could be considered </w:t>
      </w:r>
      <w:r w:rsidR="009600A6">
        <w:rPr>
          <w:rFonts w:eastAsia="Malgun Gothic"/>
        </w:rPr>
        <w:t>although</w:t>
      </w:r>
      <w:r w:rsidR="00BF6D5C">
        <w:rPr>
          <w:rFonts w:eastAsia="Malgun Gothic"/>
        </w:rPr>
        <w:t xml:space="preserve"> not necessarily needed for MC-CBM</w:t>
      </w:r>
      <w:r w:rsidR="009600A6">
        <w:rPr>
          <w:rFonts w:eastAsia="Malgun Gothic"/>
        </w:rPr>
        <w:t xml:space="preserve"> but then corresponding </w:t>
      </w:r>
      <w:r w:rsidR="009600A6" w:rsidRPr="00D71910">
        <w:rPr>
          <w:rFonts w:ascii="Arial" w:eastAsia="Malgun Gothic" w:hAnsi="Arial"/>
          <w:bCs/>
          <w:sz w:val="18"/>
        </w:rPr>
        <w:t>ΔR</w:t>
      </w:r>
      <w:r w:rsidR="009600A6" w:rsidRPr="00D71910">
        <w:rPr>
          <w:rFonts w:ascii="Arial" w:eastAsia="Malgun Gothic" w:hAnsi="Arial"/>
          <w:bCs/>
          <w:sz w:val="18"/>
          <w:vertAlign w:val="subscript"/>
        </w:rPr>
        <w:t>IB,P,n</w:t>
      </w:r>
      <w:r w:rsidR="009600A6" w:rsidRPr="00D71910">
        <w:rPr>
          <w:rFonts w:ascii="Arial" w:eastAsia="Malgun Gothic" w:hAnsi="Arial"/>
          <w:bCs/>
          <w:sz w:val="18"/>
        </w:rPr>
        <w:t xml:space="preserve"> and ΔR</w:t>
      </w:r>
      <w:r w:rsidR="009600A6" w:rsidRPr="00D71910">
        <w:rPr>
          <w:rFonts w:ascii="Arial" w:eastAsia="Malgun Gothic" w:hAnsi="Arial"/>
          <w:bCs/>
          <w:sz w:val="18"/>
          <w:vertAlign w:val="subscript"/>
        </w:rPr>
        <w:t>IB,S,n</w:t>
      </w:r>
      <w:r w:rsidR="009600A6">
        <w:rPr>
          <w:rFonts w:eastAsia="Malgun Gothic"/>
        </w:rPr>
        <w:t xml:space="preserve"> values would be smaller than for IBM for the same band combination.</w:t>
      </w:r>
      <w:r w:rsidR="0001428A">
        <w:rPr>
          <w:rFonts w:eastAsia="Malgun Gothic"/>
        </w:rPr>
        <w:t xml:space="preserve"> This is because for IBM the larger power imbalance is partly compensated by in creasing the relaxation value, this is not necessary for CBM with equal PSD assumption.</w:t>
      </w:r>
    </w:p>
    <w:p w14:paraId="19B4BC4D" w14:textId="21AA6A17" w:rsidR="009600A6" w:rsidRPr="0001428A" w:rsidRDefault="009600A6" w:rsidP="00643779">
      <w:pPr>
        <w:rPr>
          <w:b/>
          <w:bCs/>
          <w:lang w:val="en-US"/>
        </w:rPr>
      </w:pPr>
      <w:r w:rsidRPr="0001428A">
        <w:rPr>
          <w:rFonts w:eastAsia="Malgun Gothic"/>
          <w:b/>
          <w:bCs/>
        </w:rPr>
        <w:t xml:space="preserve">Proposal 3: </w:t>
      </w:r>
      <w:r w:rsidR="00F8237E" w:rsidRPr="0001428A">
        <w:rPr>
          <w:rFonts w:eastAsia="Malgun Gothic"/>
          <w:b/>
          <w:bCs/>
        </w:rPr>
        <w:t xml:space="preserve">For </w:t>
      </w:r>
      <w:r w:rsidR="00F8237E" w:rsidRPr="00A7099D">
        <w:rPr>
          <w:b/>
          <w:bCs/>
          <w:lang w:val="en-US"/>
        </w:rPr>
        <w:t>REFSENS and EIS spherical coverage </w:t>
      </w:r>
      <w:r w:rsidR="00F8237E" w:rsidRPr="0001428A">
        <w:rPr>
          <w:b/>
          <w:bCs/>
          <w:lang w:val="en-US"/>
        </w:rPr>
        <w:t xml:space="preserve">requirement equal PSD condition is assumed. </w:t>
      </w:r>
      <w:r w:rsidR="0001428A" w:rsidRPr="0001428A">
        <w:rPr>
          <w:b/>
          <w:bCs/>
          <w:lang w:val="en-US"/>
        </w:rPr>
        <w:t xml:space="preserve">For </w:t>
      </w:r>
      <w:r w:rsidR="0001428A" w:rsidRPr="0001428A">
        <w:rPr>
          <w:rFonts w:ascii="Arial" w:eastAsia="Malgun Gothic" w:hAnsi="Arial"/>
          <w:b/>
          <w:bCs/>
          <w:sz w:val="18"/>
        </w:rPr>
        <w:t>ΔR</w:t>
      </w:r>
      <w:r w:rsidR="0001428A" w:rsidRPr="0001428A">
        <w:rPr>
          <w:rFonts w:ascii="Arial" w:eastAsia="Malgun Gothic" w:hAnsi="Arial"/>
          <w:b/>
          <w:bCs/>
          <w:sz w:val="18"/>
          <w:vertAlign w:val="subscript"/>
        </w:rPr>
        <w:t>IB,P,n</w:t>
      </w:r>
      <w:r w:rsidR="0001428A" w:rsidRPr="0001428A">
        <w:rPr>
          <w:rFonts w:ascii="Arial" w:eastAsia="Malgun Gothic" w:hAnsi="Arial"/>
          <w:b/>
          <w:bCs/>
          <w:sz w:val="18"/>
        </w:rPr>
        <w:t xml:space="preserve"> and ΔR</w:t>
      </w:r>
      <w:r w:rsidR="0001428A" w:rsidRPr="0001428A">
        <w:rPr>
          <w:rFonts w:ascii="Arial" w:eastAsia="Malgun Gothic" w:hAnsi="Arial"/>
          <w:b/>
          <w:bCs/>
          <w:sz w:val="18"/>
          <w:vertAlign w:val="subscript"/>
        </w:rPr>
        <w:t>IB,S,n</w:t>
      </w:r>
      <w:r w:rsidR="0001428A" w:rsidRPr="0001428A">
        <w:rPr>
          <w:rFonts w:eastAsia="Malgun Gothic"/>
          <w:b/>
          <w:bCs/>
        </w:rPr>
        <w:t xml:space="preserve"> values corresponding IBM values are taken as a starting point for CBM but CBM relaxations are lower than corresponding IBM relaxations.</w:t>
      </w:r>
    </w:p>
    <w:p w14:paraId="4505635A" w14:textId="19DE9E7A" w:rsidR="002F1940" w:rsidRDefault="00B97703" w:rsidP="00AA7654">
      <w:pPr>
        <w:pStyle w:val="Heading1"/>
        <w:rPr>
          <w:szCs w:val="36"/>
        </w:rPr>
      </w:pPr>
      <w:r w:rsidRPr="000F6242">
        <w:rPr>
          <w:szCs w:val="36"/>
        </w:rPr>
        <w:t>3</w:t>
      </w:r>
      <w:r w:rsidR="002F1940">
        <w:rPr>
          <w:szCs w:val="36"/>
        </w:rPr>
        <w:tab/>
      </w:r>
      <w:bookmarkStart w:id="4" w:name="OLE_LINK53"/>
      <w:bookmarkStart w:id="5" w:name="OLE_LINK54"/>
      <w:r w:rsidR="00AA7654">
        <w:rPr>
          <w:szCs w:val="36"/>
        </w:rPr>
        <w:t>Conclusion</w:t>
      </w:r>
    </w:p>
    <w:p w14:paraId="2A836765" w14:textId="103777D8" w:rsidR="00185A66" w:rsidRDefault="00FE482F" w:rsidP="00E77B19">
      <w:r>
        <w:t xml:space="preserve">In this </w:t>
      </w:r>
      <w:r w:rsidR="00E77B19">
        <w:t>contribution</w:t>
      </w:r>
      <w:r>
        <w:t xml:space="preserve"> we propose </w:t>
      </w:r>
    </w:p>
    <w:p w14:paraId="58F27E42" w14:textId="4938EF83" w:rsidR="0001428A" w:rsidRDefault="0001428A" w:rsidP="0001428A">
      <w:pPr>
        <w:pStyle w:val="paragraph"/>
        <w:spacing w:before="0" w:beforeAutospacing="0" w:after="0" w:afterAutospacing="0"/>
        <w:textAlignment w:val="baseline"/>
        <w:rPr>
          <w:b/>
          <w:bCs/>
          <w:sz w:val="20"/>
          <w:szCs w:val="20"/>
          <w:lang w:val="en-US"/>
        </w:rPr>
      </w:pPr>
      <w:r w:rsidRPr="003716CB">
        <w:rPr>
          <w:b/>
          <w:bCs/>
          <w:sz w:val="20"/>
          <w:szCs w:val="20"/>
          <w:lang w:val="en-US"/>
        </w:rPr>
        <w:t>Proposal</w:t>
      </w:r>
      <w:r>
        <w:rPr>
          <w:b/>
          <w:bCs/>
          <w:sz w:val="20"/>
          <w:szCs w:val="20"/>
          <w:lang w:val="en-US"/>
        </w:rPr>
        <w:t xml:space="preserve"> 1</w:t>
      </w:r>
      <w:r w:rsidRPr="003716CB">
        <w:rPr>
          <w:b/>
          <w:bCs/>
          <w:sz w:val="20"/>
          <w:szCs w:val="20"/>
          <w:lang w:val="en-US"/>
        </w:rPr>
        <w:t>:</w:t>
      </w:r>
      <w:r>
        <w:rPr>
          <w:b/>
          <w:bCs/>
          <w:sz w:val="20"/>
          <w:szCs w:val="20"/>
          <w:lang w:val="en-US"/>
        </w:rPr>
        <w:t xml:space="preserve"> FR2 DL CBM UE CA REFSENS is tested from all </w:t>
      </w:r>
      <w:r w:rsidR="00274A8F">
        <w:rPr>
          <w:b/>
          <w:bCs/>
          <w:sz w:val="20"/>
          <w:szCs w:val="20"/>
          <w:lang w:val="en-US"/>
        </w:rPr>
        <w:t>band</w:t>
      </w:r>
      <w:r>
        <w:rPr>
          <w:b/>
          <w:bCs/>
          <w:sz w:val="20"/>
          <w:szCs w:val="20"/>
          <w:lang w:val="en-US"/>
        </w:rPr>
        <w:t xml:space="preserve">s with all </w:t>
      </w:r>
      <w:r w:rsidR="00274A8F">
        <w:rPr>
          <w:b/>
          <w:bCs/>
          <w:sz w:val="20"/>
          <w:szCs w:val="20"/>
          <w:lang w:val="en-US"/>
        </w:rPr>
        <w:t>bands</w:t>
      </w:r>
      <w:r>
        <w:rPr>
          <w:b/>
          <w:bCs/>
          <w:sz w:val="20"/>
          <w:szCs w:val="20"/>
          <w:lang w:val="en-US"/>
        </w:rPr>
        <w:t xml:space="preserve"> active. Maximum input level, ACS and blocking is tested only from bands which do not have UL</w:t>
      </w:r>
      <w:r w:rsidR="00274A8F">
        <w:rPr>
          <w:b/>
          <w:bCs/>
          <w:sz w:val="20"/>
          <w:szCs w:val="20"/>
          <w:lang w:val="en-US"/>
        </w:rPr>
        <w:t xml:space="preserve"> CC</w:t>
      </w:r>
      <w:r>
        <w:rPr>
          <w:b/>
          <w:bCs/>
          <w:sz w:val="20"/>
          <w:szCs w:val="20"/>
          <w:lang w:val="en-US"/>
        </w:rPr>
        <w:t xml:space="preserve"> and BMRS.</w:t>
      </w:r>
    </w:p>
    <w:p w14:paraId="3294362E" w14:textId="77777777" w:rsidR="0001428A" w:rsidRPr="003716CB" w:rsidRDefault="0001428A" w:rsidP="0001428A">
      <w:pPr>
        <w:pStyle w:val="paragraph"/>
        <w:spacing w:before="0" w:beforeAutospacing="0" w:after="0" w:afterAutospacing="0"/>
        <w:textAlignment w:val="baseline"/>
        <w:rPr>
          <w:b/>
          <w:bCs/>
          <w:sz w:val="20"/>
          <w:szCs w:val="20"/>
          <w:lang w:val="en-US"/>
        </w:rPr>
      </w:pPr>
    </w:p>
    <w:p w14:paraId="73B32C3F" w14:textId="3CAEC7BB" w:rsidR="0001428A" w:rsidRDefault="0001428A" w:rsidP="0001428A">
      <w:pPr>
        <w:rPr>
          <w:b/>
          <w:bCs/>
          <w:lang w:val="en-US"/>
        </w:rPr>
      </w:pPr>
      <w:r w:rsidRPr="001541F1">
        <w:rPr>
          <w:b/>
          <w:bCs/>
          <w:lang w:val="en-US"/>
        </w:rPr>
        <w:t>Proposal 2: RAN4 will not define Fs_Inter but it will define EIS Relaxation as a function of frequency separation. This relaxation is only applicable for SC</w:t>
      </w:r>
      <w:r w:rsidR="0007785F">
        <w:rPr>
          <w:b/>
          <w:bCs/>
          <w:lang w:val="en-US"/>
        </w:rPr>
        <w:t>-</w:t>
      </w:r>
      <w:r w:rsidRPr="001541F1">
        <w:rPr>
          <w:b/>
          <w:bCs/>
          <w:lang w:val="en-US"/>
        </w:rPr>
        <w:t>CBM UEs.</w:t>
      </w:r>
    </w:p>
    <w:p w14:paraId="5D2C8D34" w14:textId="77777777" w:rsidR="0001428A" w:rsidRPr="0001428A" w:rsidRDefault="0001428A" w:rsidP="0001428A">
      <w:pPr>
        <w:rPr>
          <w:b/>
          <w:bCs/>
          <w:lang w:val="en-US"/>
        </w:rPr>
      </w:pPr>
      <w:r w:rsidRPr="0001428A">
        <w:rPr>
          <w:rFonts w:eastAsia="Malgun Gothic"/>
          <w:b/>
          <w:bCs/>
        </w:rPr>
        <w:t xml:space="preserve">Proposal 3: For </w:t>
      </w:r>
      <w:r w:rsidRPr="00A7099D">
        <w:rPr>
          <w:b/>
          <w:bCs/>
          <w:lang w:val="en-US"/>
        </w:rPr>
        <w:t>REFSENS and EIS spherical coverage </w:t>
      </w:r>
      <w:r w:rsidRPr="0001428A">
        <w:rPr>
          <w:b/>
          <w:bCs/>
          <w:lang w:val="en-US"/>
        </w:rPr>
        <w:t xml:space="preserve">requirement equal PSD condition is assumed. For </w:t>
      </w:r>
      <w:r w:rsidRPr="0001428A">
        <w:rPr>
          <w:rFonts w:ascii="Arial" w:eastAsia="Malgun Gothic" w:hAnsi="Arial"/>
          <w:b/>
          <w:bCs/>
          <w:sz w:val="18"/>
        </w:rPr>
        <w:t>ΔR</w:t>
      </w:r>
      <w:r w:rsidRPr="0001428A">
        <w:rPr>
          <w:rFonts w:ascii="Arial" w:eastAsia="Malgun Gothic" w:hAnsi="Arial"/>
          <w:b/>
          <w:bCs/>
          <w:sz w:val="18"/>
          <w:vertAlign w:val="subscript"/>
        </w:rPr>
        <w:t>IB,P,n</w:t>
      </w:r>
      <w:r w:rsidRPr="0001428A">
        <w:rPr>
          <w:rFonts w:ascii="Arial" w:eastAsia="Malgun Gothic" w:hAnsi="Arial"/>
          <w:b/>
          <w:bCs/>
          <w:sz w:val="18"/>
        </w:rPr>
        <w:t xml:space="preserve"> and ΔR</w:t>
      </w:r>
      <w:r w:rsidRPr="0001428A">
        <w:rPr>
          <w:rFonts w:ascii="Arial" w:eastAsia="Malgun Gothic" w:hAnsi="Arial"/>
          <w:b/>
          <w:bCs/>
          <w:sz w:val="18"/>
          <w:vertAlign w:val="subscript"/>
        </w:rPr>
        <w:t>IB,S,n</w:t>
      </w:r>
      <w:r w:rsidRPr="0001428A">
        <w:rPr>
          <w:rFonts w:eastAsia="Malgun Gothic"/>
          <w:b/>
          <w:bCs/>
        </w:rPr>
        <w:t xml:space="preserve"> values corresponding IBM values are taken as a starting point for CBM but CBM relaxations are lower than corresponding IBM relaxations.</w:t>
      </w:r>
    </w:p>
    <w:p w14:paraId="4FEB7888" w14:textId="6EDE6B24" w:rsidR="00AA7654" w:rsidRDefault="00AA7654" w:rsidP="00AA7654">
      <w:pPr>
        <w:pStyle w:val="Heading1"/>
      </w:pPr>
      <w:r>
        <w:t xml:space="preserve">4 </w:t>
      </w:r>
      <w:r>
        <w:tab/>
        <w:t>References</w:t>
      </w:r>
    </w:p>
    <w:bookmarkEnd w:id="4"/>
    <w:bookmarkEnd w:id="5"/>
    <w:p w14:paraId="65C124A9" w14:textId="414BF3A4" w:rsidR="00290FCD" w:rsidRPr="00290FCD" w:rsidRDefault="008659DB" w:rsidP="00290FCD">
      <w:pPr>
        <w:rPr>
          <w:lang w:val="en-US"/>
        </w:rPr>
      </w:pPr>
      <w:r>
        <w:rPr>
          <w:lang w:val="en-US"/>
        </w:rPr>
        <w:t xml:space="preserve">[1] </w:t>
      </w:r>
      <w:r w:rsidR="00FC41B7" w:rsidRPr="00FC41B7">
        <w:rPr>
          <w:lang w:val="en-US"/>
        </w:rPr>
        <w:t>R4-2114960</w:t>
      </w:r>
      <w:r>
        <w:rPr>
          <w:lang w:val="en-US"/>
        </w:rPr>
        <w:t xml:space="preserve">, </w:t>
      </w:r>
      <w:r w:rsidR="00FC41B7" w:rsidRPr="00FC41B7">
        <w:rPr>
          <w:lang w:val="en-US"/>
        </w:rPr>
        <w:t>WF on FR2 DL CA based on CBM</w:t>
      </w:r>
      <w:r w:rsidR="001E1D88">
        <w:rPr>
          <w:lang w:val="en-US"/>
        </w:rPr>
        <w:t xml:space="preserve">, </w:t>
      </w:r>
      <w:r w:rsidR="00FC41B7" w:rsidRPr="00FC41B7">
        <w:rPr>
          <w:lang w:val="en-US"/>
        </w:rPr>
        <w:t>Qualcomm Incorporated</w:t>
      </w:r>
      <w:r w:rsidR="001E1D88">
        <w:rPr>
          <w:lang w:val="en-US"/>
        </w:rPr>
        <w:t>, RAN4#</w:t>
      </w:r>
      <w:r w:rsidR="00FC41B7">
        <w:rPr>
          <w:lang w:val="en-US"/>
        </w:rPr>
        <w:t>100e</w:t>
      </w:r>
    </w:p>
    <w:sectPr w:rsidR="00290FCD" w:rsidRPr="00290F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F93C0" w14:textId="77777777" w:rsidR="00934763" w:rsidRDefault="00934763">
      <w:pPr>
        <w:spacing w:after="0"/>
      </w:pPr>
      <w:r>
        <w:separator/>
      </w:r>
    </w:p>
  </w:endnote>
  <w:endnote w:type="continuationSeparator" w:id="0">
    <w:p w14:paraId="0076464B" w14:textId="77777777" w:rsidR="00934763" w:rsidRDefault="00934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22305" w14:textId="77777777" w:rsidR="00934763" w:rsidRDefault="00934763">
      <w:pPr>
        <w:spacing w:after="0"/>
      </w:pPr>
      <w:r>
        <w:separator/>
      </w:r>
    </w:p>
  </w:footnote>
  <w:footnote w:type="continuationSeparator" w:id="0">
    <w:p w14:paraId="2FD60B9A" w14:textId="77777777" w:rsidR="00934763" w:rsidRDefault="009347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520D95"/>
    <w:multiLevelType w:val="hybridMultilevel"/>
    <w:tmpl w:val="73C493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A830668"/>
    <w:multiLevelType w:val="hybridMultilevel"/>
    <w:tmpl w:val="835C06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9296B20"/>
    <w:multiLevelType w:val="hybridMultilevel"/>
    <w:tmpl w:val="D4FA0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917E92"/>
    <w:multiLevelType w:val="multilevel"/>
    <w:tmpl w:val="F7760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98D3FD3"/>
    <w:multiLevelType w:val="hybridMultilevel"/>
    <w:tmpl w:val="9502F3D2"/>
    <w:lvl w:ilvl="0" w:tplc="73748A46">
      <w:start w:val="1"/>
      <w:numFmt w:val="bullet"/>
      <w:lvlText w:val=""/>
      <w:lvlJc w:val="left"/>
      <w:pPr>
        <w:ind w:left="720" w:hanging="360"/>
      </w:pPr>
      <w:rPr>
        <w:rFonts w:ascii="Symbol" w:hAnsi="Symbol" w:hint="default"/>
      </w:rPr>
    </w:lvl>
    <w:lvl w:ilvl="1" w:tplc="17765AA0">
      <w:start w:val="1"/>
      <w:numFmt w:val="bullet"/>
      <w:lvlText w:val="o"/>
      <w:lvlJc w:val="left"/>
      <w:pPr>
        <w:ind w:left="1440" w:hanging="360"/>
      </w:pPr>
      <w:rPr>
        <w:rFonts w:ascii="Courier New" w:hAnsi="Courier New" w:hint="default"/>
      </w:rPr>
    </w:lvl>
    <w:lvl w:ilvl="2" w:tplc="2C285EF2">
      <w:start w:val="1"/>
      <w:numFmt w:val="bullet"/>
      <w:lvlText w:val=""/>
      <w:lvlJc w:val="left"/>
      <w:pPr>
        <w:ind w:left="2160" w:hanging="360"/>
      </w:pPr>
      <w:rPr>
        <w:rFonts w:ascii="Wingdings" w:hAnsi="Wingdings" w:hint="default"/>
      </w:rPr>
    </w:lvl>
    <w:lvl w:ilvl="3" w:tplc="E1668466">
      <w:start w:val="1"/>
      <w:numFmt w:val="bullet"/>
      <w:lvlText w:val=""/>
      <w:lvlJc w:val="left"/>
      <w:pPr>
        <w:ind w:left="2880" w:hanging="360"/>
      </w:pPr>
      <w:rPr>
        <w:rFonts w:ascii="Symbol" w:hAnsi="Symbol" w:hint="default"/>
      </w:rPr>
    </w:lvl>
    <w:lvl w:ilvl="4" w:tplc="D3A629DC">
      <w:start w:val="1"/>
      <w:numFmt w:val="bullet"/>
      <w:lvlText w:val="o"/>
      <w:lvlJc w:val="left"/>
      <w:pPr>
        <w:ind w:left="3600" w:hanging="360"/>
      </w:pPr>
      <w:rPr>
        <w:rFonts w:ascii="Courier New" w:hAnsi="Courier New" w:hint="default"/>
      </w:rPr>
    </w:lvl>
    <w:lvl w:ilvl="5" w:tplc="6BA0470E">
      <w:start w:val="1"/>
      <w:numFmt w:val="bullet"/>
      <w:lvlText w:val=""/>
      <w:lvlJc w:val="left"/>
      <w:pPr>
        <w:ind w:left="4320" w:hanging="360"/>
      </w:pPr>
      <w:rPr>
        <w:rFonts w:ascii="Wingdings" w:hAnsi="Wingdings" w:hint="default"/>
      </w:rPr>
    </w:lvl>
    <w:lvl w:ilvl="6" w:tplc="3494A282">
      <w:start w:val="1"/>
      <w:numFmt w:val="bullet"/>
      <w:lvlText w:val=""/>
      <w:lvlJc w:val="left"/>
      <w:pPr>
        <w:ind w:left="5040" w:hanging="360"/>
      </w:pPr>
      <w:rPr>
        <w:rFonts w:ascii="Symbol" w:hAnsi="Symbol" w:hint="default"/>
      </w:rPr>
    </w:lvl>
    <w:lvl w:ilvl="7" w:tplc="F79EEF5C">
      <w:start w:val="1"/>
      <w:numFmt w:val="bullet"/>
      <w:lvlText w:val="o"/>
      <w:lvlJc w:val="left"/>
      <w:pPr>
        <w:ind w:left="5760" w:hanging="360"/>
      </w:pPr>
      <w:rPr>
        <w:rFonts w:ascii="Courier New" w:hAnsi="Courier New" w:hint="default"/>
      </w:rPr>
    </w:lvl>
    <w:lvl w:ilvl="8" w:tplc="5A840690">
      <w:start w:val="1"/>
      <w:numFmt w:val="bullet"/>
      <w:lvlText w:val=""/>
      <w:lvlJc w:val="left"/>
      <w:pPr>
        <w:ind w:left="6480" w:hanging="360"/>
      </w:pPr>
      <w:rPr>
        <w:rFonts w:ascii="Wingdings" w:hAnsi="Wingdings" w:hint="default"/>
      </w:rPr>
    </w:lvl>
  </w:abstractNum>
  <w:abstractNum w:abstractNumId="7" w15:restartNumberingAfterBreak="0">
    <w:nsid w:val="36692ADD"/>
    <w:multiLevelType w:val="hybridMultilevel"/>
    <w:tmpl w:val="097C591C"/>
    <w:lvl w:ilvl="0" w:tplc="0409000F">
      <w:start w:val="1"/>
      <w:numFmt w:val="decimal"/>
      <w:lvlText w:val="%1."/>
      <w:lvlJc w:val="left"/>
      <w:pPr>
        <w:ind w:left="1527" w:hanging="360"/>
      </w:pPr>
    </w:lvl>
    <w:lvl w:ilvl="1" w:tplc="04090019">
      <w:start w:val="1"/>
      <w:numFmt w:val="lowerLetter"/>
      <w:lvlText w:val="%2."/>
      <w:lvlJc w:val="left"/>
      <w:pPr>
        <w:ind w:left="2247" w:hanging="360"/>
      </w:pPr>
    </w:lvl>
    <w:lvl w:ilvl="2" w:tplc="0409001B">
      <w:start w:val="1"/>
      <w:numFmt w:val="lowerRoman"/>
      <w:lvlText w:val="%3."/>
      <w:lvlJc w:val="right"/>
      <w:pPr>
        <w:ind w:left="2967" w:hanging="180"/>
      </w:pPr>
    </w:lvl>
    <w:lvl w:ilvl="3" w:tplc="0409000F">
      <w:start w:val="1"/>
      <w:numFmt w:val="decimal"/>
      <w:lvlText w:val="%4."/>
      <w:lvlJc w:val="left"/>
      <w:pPr>
        <w:ind w:left="3687" w:hanging="360"/>
      </w:pPr>
    </w:lvl>
    <w:lvl w:ilvl="4" w:tplc="04090019">
      <w:start w:val="1"/>
      <w:numFmt w:val="lowerLetter"/>
      <w:lvlText w:val="%5."/>
      <w:lvlJc w:val="left"/>
      <w:pPr>
        <w:ind w:left="4407" w:hanging="360"/>
      </w:pPr>
    </w:lvl>
    <w:lvl w:ilvl="5" w:tplc="0409001B">
      <w:start w:val="1"/>
      <w:numFmt w:val="lowerRoman"/>
      <w:lvlText w:val="%6."/>
      <w:lvlJc w:val="right"/>
      <w:pPr>
        <w:ind w:left="5127" w:hanging="180"/>
      </w:pPr>
    </w:lvl>
    <w:lvl w:ilvl="6" w:tplc="0409000F">
      <w:start w:val="1"/>
      <w:numFmt w:val="decimal"/>
      <w:lvlText w:val="%7."/>
      <w:lvlJc w:val="left"/>
      <w:pPr>
        <w:ind w:left="5847" w:hanging="360"/>
      </w:pPr>
    </w:lvl>
    <w:lvl w:ilvl="7" w:tplc="04090019">
      <w:start w:val="1"/>
      <w:numFmt w:val="lowerLetter"/>
      <w:lvlText w:val="%8."/>
      <w:lvlJc w:val="left"/>
      <w:pPr>
        <w:ind w:left="6567" w:hanging="360"/>
      </w:pPr>
    </w:lvl>
    <w:lvl w:ilvl="8" w:tplc="0409001B">
      <w:start w:val="1"/>
      <w:numFmt w:val="lowerRoman"/>
      <w:lvlText w:val="%9."/>
      <w:lvlJc w:val="right"/>
      <w:pPr>
        <w:ind w:left="7287" w:hanging="180"/>
      </w:pPr>
    </w:lvl>
  </w:abstractNum>
  <w:abstractNum w:abstractNumId="8" w15:restartNumberingAfterBreak="0">
    <w:nsid w:val="37DA60E6"/>
    <w:multiLevelType w:val="multilevel"/>
    <w:tmpl w:val="52BA2F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8C52BDC"/>
    <w:multiLevelType w:val="hybridMultilevel"/>
    <w:tmpl w:val="048479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6C24BFD"/>
    <w:multiLevelType w:val="multilevel"/>
    <w:tmpl w:val="C06800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868583D"/>
    <w:multiLevelType w:val="multilevel"/>
    <w:tmpl w:val="B4F821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71284E"/>
    <w:multiLevelType w:val="hybridMultilevel"/>
    <w:tmpl w:val="C054D3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04A4728"/>
    <w:multiLevelType w:val="multilevel"/>
    <w:tmpl w:val="07CA4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2624C0"/>
    <w:multiLevelType w:val="hybridMultilevel"/>
    <w:tmpl w:val="33F0D8C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6"/>
  </w:num>
  <w:num w:numId="2">
    <w:abstractNumId w:val="16"/>
  </w:num>
  <w:num w:numId="3">
    <w:abstractNumId w:val="12"/>
  </w:num>
  <w:num w:numId="4">
    <w:abstractNumId w:val="10"/>
  </w:num>
  <w:num w:numId="5">
    <w:abstractNumId w:val="4"/>
  </w:num>
  <w:num w:numId="6">
    <w:abstractNumId w:val="8"/>
  </w:num>
  <w:num w:numId="7">
    <w:abstractNumId w:val="3"/>
  </w:num>
  <w:num w:numId="8">
    <w:abstractNumId w:val="0"/>
  </w:num>
  <w:num w:numId="9">
    <w:abstractNumId w:val="1"/>
  </w:num>
  <w:num w:numId="10">
    <w:abstractNumId w:val="5"/>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num>
  <w:num w:numId="13">
    <w:abstractNumId w:val="2"/>
  </w:num>
  <w:num w:numId="14">
    <w:abstractNumId w:val="9"/>
  </w:num>
  <w:num w:numId="15">
    <w:abstractNumId w:val="14"/>
  </w:num>
  <w:num w:numId="16">
    <w:abstractNumId w:val="15"/>
  </w:num>
  <w:num w:numId="17">
    <w:abstractNumId w:val="13"/>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3828"/>
    <w:rsid w:val="0001428A"/>
    <w:rsid w:val="00017F23"/>
    <w:rsid w:val="0002061C"/>
    <w:rsid w:val="00036157"/>
    <w:rsid w:val="00036E60"/>
    <w:rsid w:val="00040440"/>
    <w:rsid w:val="00054F87"/>
    <w:rsid w:val="00055823"/>
    <w:rsid w:val="00074F77"/>
    <w:rsid w:val="0007785F"/>
    <w:rsid w:val="00083D4C"/>
    <w:rsid w:val="00097E6A"/>
    <w:rsid w:val="000A3A69"/>
    <w:rsid w:val="000D64DA"/>
    <w:rsid w:val="000F6242"/>
    <w:rsid w:val="00125E41"/>
    <w:rsid w:val="00130FC6"/>
    <w:rsid w:val="00135D1C"/>
    <w:rsid w:val="00145F43"/>
    <w:rsid w:val="001541F1"/>
    <w:rsid w:val="00184661"/>
    <w:rsid w:val="00185A66"/>
    <w:rsid w:val="00191E56"/>
    <w:rsid w:val="001C0474"/>
    <w:rsid w:val="001E1D88"/>
    <w:rsid w:val="001E4A46"/>
    <w:rsid w:val="00204FAE"/>
    <w:rsid w:val="002243FF"/>
    <w:rsid w:val="002256B7"/>
    <w:rsid w:val="00245706"/>
    <w:rsid w:val="002553E2"/>
    <w:rsid w:val="00274A8F"/>
    <w:rsid w:val="00282820"/>
    <w:rsid w:val="00283DE9"/>
    <w:rsid w:val="00290FCD"/>
    <w:rsid w:val="002F1940"/>
    <w:rsid w:val="00303D30"/>
    <w:rsid w:val="00322F82"/>
    <w:rsid w:val="00330EDF"/>
    <w:rsid w:val="00335D84"/>
    <w:rsid w:val="00335F01"/>
    <w:rsid w:val="00345878"/>
    <w:rsid w:val="0037077B"/>
    <w:rsid w:val="003716CB"/>
    <w:rsid w:val="00371E8B"/>
    <w:rsid w:val="003825AC"/>
    <w:rsid w:val="00383545"/>
    <w:rsid w:val="003C02B7"/>
    <w:rsid w:val="00404567"/>
    <w:rsid w:val="00427163"/>
    <w:rsid w:val="00433500"/>
    <w:rsid w:val="00433F71"/>
    <w:rsid w:val="00440D43"/>
    <w:rsid w:val="00470A62"/>
    <w:rsid w:val="004802E7"/>
    <w:rsid w:val="004866C4"/>
    <w:rsid w:val="004976F8"/>
    <w:rsid w:val="004C48AB"/>
    <w:rsid w:val="004D28B1"/>
    <w:rsid w:val="004E3939"/>
    <w:rsid w:val="00516F11"/>
    <w:rsid w:val="005577FD"/>
    <w:rsid w:val="005639AE"/>
    <w:rsid w:val="005B22E2"/>
    <w:rsid w:val="005B5B24"/>
    <w:rsid w:val="005C1F2D"/>
    <w:rsid w:val="005E748D"/>
    <w:rsid w:val="005F5F41"/>
    <w:rsid w:val="00603206"/>
    <w:rsid w:val="006115FB"/>
    <w:rsid w:val="006162E0"/>
    <w:rsid w:val="00621A47"/>
    <w:rsid w:val="00643779"/>
    <w:rsid w:val="00687B49"/>
    <w:rsid w:val="00690824"/>
    <w:rsid w:val="00692082"/>
    <w:rsid w:val="006A1870"/>
    <w:rsid w:val="006A54D5"/>
    <w:rsid w:val="006B5C52"/>
    <w:rsid w:val="006D7FE2"/>
    <w:rsid w:val="007120E6"/>
    <w:rsid w:val="00726F38"/>
    <w:rsid w:val="00760D8D"/>
    <w:rsid w:val="00763CC3"/>
    <w:rsid w:val="00771168"/>
    <w:rsid w:val="00772612"/>
    <w:rsid w:val="007737A5"/>
    <w:rsid w:val="00775EC5"/>
    <w:rsid w:val="007850E1"/>
    <w:rsid w:val="007910A7"/>
    <w:rsid w:val="007A2553"/>
    <w:rsid w:val="007A3BC8"/>
    <w:rsid w:val="007A7019"/>
    <w:rsid w:val="007B2FB8"/>
    <w:rsid w:val="007D1172"/>
    <w:rsid w:val="007F4F92"/>
    <w:rsid w:val="008104EF"/>
    <w:rsid w:val="00821D70"/>
    <w:rsid w:val="00826A62"/>
    <w:rsid w:val="0083385F"/>
    <w:rsid w:val="008659DB"/>
    <w:rsid w:val="008830CA"/>
    <w:rsid w:val="008A1851"/>
    <w:rsid w:val="008C1A8F"/>
    <w:rsid w:val="008D772F"/>
    <w:rsid w:val="00914506"/>
    <w:rsid w:val="00934763"/>
    <w:rsid w:val="00951280"/>
    <w:rsid w:val="00957F6C"/>
    <w:rsid w:val="009600A6"/>
    <w:rsid w:val="00975356"/>
    <w:rsid w:val="00981714"/>
    <w:rsid w:val="00990F72"/>
    <w:rsid w:val="0099764C"/>
    <w:rsid w:val="009D1A1C"/>
    <w:rsid w:val="009F047D"/>
    <w:rsid w:val="00A138D6"/>
    <w:rsid w:val="00A1532A"/>
    <w:rsid w:val="00A45E1D"/>
    <w:rsid w:val="00A7099D"/>
    <w:rsid w:val="00A74629"/>
    <w:rsid w:val="00A91D71"/>
    <w:rsid w:val="00AA7654"/>
    <w:rsid w:val="00AC67A6"/>
    <w:rsid w:val="00AD76AA"/>
    <w:rsid w:val="00AD79A1"/>
    <w:rsid w:val="00B024B2"/>
    <w:rsid w:val="00B43836"/>
    <w:rsid w:val="00B51583"/>
    <w:rsid w:val="00B56B9A"/>
    <w:rsid w:val="00B64408"/>
    <w:rsid w:val="00B66A7B"/>
    <w:rsid w:val="00B83FC7"/>
    <w:rsid w:val="00B87E60"/>
    <w:rsid w:val="00B94D69"/>
    <w:rsid w:val="00B97333"/>
    <w:rsid w:val="00B97703"/>
    <w:rsid w:val="00BD1D1C"/>
    <w:rsid w:val="00BF6D5C"/>
    <w:rsid w:val="00C03A97"/>
    <w:rsid w:val="00C1593F"/>
    <w:rsid w:val="00C507A6"/>
    <w:rsid w:val="00C558EA"/>
    <w:rsid w:val="00C87341"/>
    <w:rsid w:val="00C8798C"/>
    <w:rsid w:val="00CB71C4"/>
    <w:rsid w:val="00CC07B6"/>
    <w:rsid w:val="00CC4C20"/>
    <w:rsid w:val="00CD0013"/>
    <w:rsid w:val="00CF6087"/>
    <w:rsid w:val="00D27D6D"/>
    <w:rsid w:val="00D4385C"/>
    <w:rsid w:val="00D55F7A"/>
    <w:rsid w:val="00D62037"/>
    <w:rsid w:val="00D71910"/>
    <w:rsid w:val="00DA08B2"/>
    <w:rsid w:val="00DB1E50"/>
    <w:rsid w:val="00DE1B56"/>
    <w:rsid w:val="00DF22A4"/>
    <w:rsid w:val="00DF68AB"/>
    <w:rsid w:val="00E044AA"/>
    <w:rsid w:val="00E117E5"/>
    <w:rsid w:val="00E326AA"/>
    <w:rsid w:val="00E46562"/>
    <w:rsid w:val="00E64764"/>
    <w:rsid w:val="00E772D6"/>
    <w:rsid w:val="00E77B19"/>
    <w:rsid w:val="00EE2A47"/>
    <w:rsid w:val="00F14ECC"/>
    <w:rsid w:val="00F17B25"/>
    <w:rsid w:val="00F35373"/>
    <w:rsid w:val="00F4005A"/>
    <w:rsid w:val="00F40395"/>
    <w:rsid w:val="00F41C10"/>
    <w:rsid w:val="00F42B43"/>
    <w:rsid w:val="00F53259"/>
    <w:rsid w:val="00F6297A"/>
    <w:rsid w:val="00F63BF9"/>
    <w:rsid w:val="00F71B30"/>
    <w:rsid w:val="00F72ECA"/>
    <w:rsid w:val="00F74726"/>
    <w:rsid w:val="00F74C53"/>
    <w:rsid w:val="00F8237E"/>
    <w:rsid w:val="00F93BB7"/>
    <w:rsid w:val="00F94048"/>
    <w:rsid w:val="00F96B44"/>
    <w:rsid w:val="00FC41B7"/>
    <w:rsid w:val="00FD1BDD"/>
    <w:rsid w:val="00FE482F"/>
    <w:rsid w:val="00FF44E5"/>
    <w:rsid w:val="00FF78F4"/>
    <w:rsid w:val="0423B80C"/>
    <w:rsid w:val="08F7292F"/>
    <w:rsid w:val="0A49FD77"/>
    <w:rsid w:val="0C6CB7ED"/>
    <w:rsid w:val="0D003314"/>
    <w:rsid w:val="0FAF5B7A"/>
    <w:rsid w:val="10E912B7"/>
    <w:rsid w:val="112B31EF"/>
    <w:rsid w:val="1249089F"/>
    <w:rsid w:val="18458B69"/>
    <w:rsid w:val="1A26EA31"/>
    <w:rsid w:val="1BEB324C"/>
    <w:rsid w:val="1C24704B"/>
    <w:rsid w:val="1EA180FF"/>
    <w:rsid w:val="225EF0FF"/>
    <w:rsid w:val="28F3C93E"/>
    <w:rsid w:val="298BEB70"/>
    <w:rsid w:val="2B7BBD00"/>
    <w:rsid w:val="2C86B031"/>
    <w:rsid w:val="3249EBB0"/>
    <w:rsid w:val="33CA4E83"/>
    <w:rsid w:val="355A8FEC"/>
    <w:rsid w:val="36C4C7C5"/>
    <w:rsid w:val="3C1F9E69"/>
    <w:rsid w:val="3E01A772"/>
    <w:rsid w:val="40590D73"/>
    <w:rsid w:val="42C92B4F"/>
    <w:rsid w:val="43A9D692"/>
    <w:rsid w:val="503B51B0"/>
    <w:rsid w:val="592502F3"/>
    <w:rsid w:val="5953AA03"/>
    <w:rsid w:val="5C383B55"/>
    <w:rsid w:val="5DF1E1F6"/>
    <w:rsid w:val="663261F0"/>
    <w:rsid w:val="673AD910"/>
    <w:rsid w:val="67C7DC0E"/>
    <w:rsid w:val="67E9BB3F"/>
    <w:rsid w:val="69185E3E"/>
    <w:rsid w:val="6D131C15"/>
    <w:rsid w:val="6F17A1DD"/>
    <w:rsid w:val="728BA9F8"/>
    <w:rsid w:val="74B5A1AF"/>
    <w:rsid w:val="798912D2"/>
    <w:rsid w:val="7CDE30B8"/>
    <w:rsid w:val="7D1D782D"/>
    <w:rsid w:val="7DB47687"/>
    <w:rsid w:val="7E41B2D1"/>
    <w:rsid w:val="7EE413F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35A1C42"/>
  <w15:chartTrackingRefBased/>
  <w15:docId w15:val="{A9CA5CA9-6420-45E0-BA69-A9D2EDC73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2"/>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5"/>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basedOn w:val="DefaultParagraphFont"/>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NormalWeb">
    <w:name w:val="Normal (Web)"/>
    <w:basedOn w:val="Normal"/>
    <w:uiPriority w:val="99"/>
    <w:semiHidden/>
    <w:unhideWhenUsed/>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
    <w:basedOn w:val="Normal"/>
    <w:link w:val="ListParagraphChar"/>
    <w:uiPriority w:val="34"/>
    <w:qFormat/>
    <w:rsid w:val="00DA08B2"/>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290FCD"/>
  </w:style>
  <w:style w:type="character" w:customStyle="1" w:styleId="normaltextrun">
    <w:name w:val="normaltextrun"/>
    <w:basedOn w:val="DefaultParagraphFont"/>
    <w:rsid w:val="00DE1B56"/>
  </w:style>
  <w:style w:type="paragraph" w:customStyle="1" w:styleId="paragraph">
    <w:name w:val="paragraph"/>
    <w:basedOn w:val="Normal"/>
    <w:rsid w:val="00DE1B56"/>
    <w:pPr>
      <w:overflowPunct/>
      <w:autoSpaceDE/>
      <w:autoSpaceDN/>
      <w:adjustRightInd/>
      <w:spacing w:before="100" w:beforeAutospacing="1" w:after="100" w:afterAutospacing="1"/>
      <w:textAlignment w:val="auto"/>
    </w:pPr>
    <w:rPr>
      <w:sz w:val="24"/>
      <w:szCs w:val="24"/>
    </w:rPr>
  </w:style>
  <w:style w:type="character" w:customStyle="1" w:styleId="eop">
    <w:name w:val="eop"/>
    <w:basedOn w:val="DefaultParagraphFont"/>
    <w:rsid w:val="00DE1B56"/>
  </w:style>
  <w:style w:type="paragraph" w:styleId="CommentSubject">
    <w:name w:val="annotation subject"/>
    <w:basedOn w:val="CommentText"/>
    <w:next w:val="CommentText"/>
    <w:link w:val="CommentSubjectChar"/>
    <w:uiPriority w:val="99"/>
    <w:semiHidden/>
    <w:unhideWhenUsed/>
    <w:rsid w:val="00FE482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FE482F"/>
    <w:rPr>
      <w:rFonts w:ascii="Arial" w:hAnsi="Arial"/>
    </w:rPr>
  </w:style>
  <w:style w:type="character" w:customStyle="1" w:styleId="CommentSubjectChar">
    <w:name w:val="Comment Subject Char"/>
    <w:basedOn w:val="CommentTextChar"/>
    <w:link w:val="CommentSubject"/>
    <w:uiPriority w:val="99"/>
    <w:semiHidden/>
    <w:rsid w:val="00FE482F"/>
    <w:rPr>
      <w:rFonts w:ascii="Arial" w:hAnsi="Arial"/>
      <w:b/>
      <w:bCs/>
    </w:rPr>
  </w:style>
  <w:style w:type="character" w:customStyle="1" w:styleId="spellingerror">
    <w:name w:val="spellingerror"/>
    <w:basedOn w:val="DefaultParagraphFont"/>
    <w:rsid w:val="00371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698748">
      <w:bodyDiv w:val="1"/>
      <w:marLeft w:val="0"/>
      <w:marRight w:val="0"/>
      <w:marTop w:val="0"/>
      <w:marBottom w:val="0"/>
      <w:divBdr>
        <w:top w:val="none" w:sz="0" w:space="0" w:color="auto"/>
        <w:left w:val="none" w:sz="0" w:space="0" w:color="auto"/>
        <w:bottom w:val="none" w:sz="0" w:space="0" w:color="auto"/>
        <w:right w:val="none" w:sz="0" w:space="0" w:color="auto"/>
      </w:divBdr>
    </w:div>
    <w:div w:id="929508497">
      <w:bodyDiv w:val="1"/>
      <w:marLeft w:val="0"/>
      <w:marRight w:val="0"/>
      <w:marTop w:val="0"/>
      <w:marBottom w:val="0"/>
      <w:divBdr>
        <w:top w:val="none" w:sz="0" w:space="0" w:color="auto"/>
        <w:left w:val="none" w:sz="0" w:space="0" w:color="auto"/>
        <w:bottom w:val="none" w:sz="0" w:space="0" w:color="auto"/>
        <w:right w:val="none" w:sz="0" w:space="0" w:color="auto"/>
      </w:divBdr>
      <w:divsChild>
        <w:div w:id="354768366">
          <w:marLeft w:val="0"/>
          <w:marRight w:val="0"/>
          <w:marTop w:val="0"/>
          <w:marBottom w:val="0"/>
          <w:divBdr>
            <w:top w:val="none" w:sz="0" w:space="0" w:color="auto"/>
            <w:left w:val="none" w:sz="0" w:space="0" w:color="auto"/>
            <w:bottom w:val="none" w:sz="0" w:space="0" w:color="auto"/>
            <w:right w:val="none" w:sz="0" w:space="0" w:color="auto"/>
          </w:divBdr>
        </w:div>
        <w:div w:id="1921864798">
          <w:marLeft w:val="0"/>
          <w:marRight w:val="0"/>
          <w:marTop w:val="0"/>
          <w:marBottom w:val="0"/>
          <w:divBdr>
            <w:top w:val="none" w:sz="0" w:space="0" w:color="auto"/>
            <w:left w:val="none" w:sz="0" w:space="0" w:color="auto"/>
            <w:bottom w:val="none" w:sz="0" w:space="0" w:color="auto"/>
            <w:right w:val="none" w:sz="0" w:space="0" w:color="auto"/>
          </w:divBdr>
          <w:divsChild>
            <w:div w:id="1089890915">
              <w:marLeft w:val="0"/>
              <w:marRight w:val="0"/>
              <w:marTop w:val="30"/>
              <w:marBottom w:val="30"/>
              <w:divBdr>
                <w:top w:val="none" w:sz="0" w:space="0" w:color="auto"/>
                <w:left w:val="none" w:sz="0" w:space="0" w:color="auto"/>
                <w:bottom w:val="none" w:sz="0" w:space="0" w:color="auto"/>
                <w:right w:val="none" w:sz="0" w:space="0" w:color="auto"/>
              </w:divBdr>
              <w:divsChild>
                <w:div w:id="308172474">
                  <w:marLeft w:val="0"/>
                  <w:marRight w:val="0"/>
                  <w:marTop w:val="0"/>
                  <w:marBottom w:val="0"/>
                  <w:divBdr>
                    <w:top w:val="none" w:sz="0" w:space="0" w:color="auto"/>
                    <w:left w:val="none" w:sz="0" w:space="0" w:color="auto"/>
                    <w:bottom w:val="none" w:sz="0" w:space="0" w:color="auto"/>
                    <w:right w:val="none" w:sz="0" w:space="0" w:color="auto"/>
                  </w:divBdr>
                  <w:divsChild>
                    <w:div w:id="2086805867">
                      <w:marLeft w:val="0"/>
                      <w:marRight w:val="0"/>
                      <w:marTop w:val="0"/>
                      <w:marBottom w:val="0"/>
                      <w:divBdr>
                        <w:top w:val="none" w:sz="0" w:space="0" w:color="auto"/>
                        <w:left w:val="none" w:sz="0" w:space="0" w:color="auto"/>
                        <w:bottom w:val="none" w:sz="0" w:space="0" w:color="auto"/>
                        <w:right w:val="none" w:sz="0" w:space="0" w:color="auto"/>
                      </w:divBdr>
                    </w:div>
                  </w:divsChild>
                </w:div>
                <w:div w:id="341472645">
                  <w:marLeft w:val="0"/>
                  <w:marRight w:val="0"/>
                  <w:marTop w:val="0"/>
                  <w:marBottom w:val="0"/>
                  <w:divBdr>
                    <w:top w:val="none" w:sz="0" w:space="0" w:color="auto"/>
                    <w:left w:val="none" w:sz="0" w:space="0" w:color="auto"/>
                    <w:bottom w:val="none" w:sz="0" w:space="0" w:color="auto"/>
                    <w:right w:val="none" w:sz="0" w:space="0" w:color="auto"/>
                  </w:divBdr>
                  <w:divsChild>
                    <w:div w:id="1965696984">
                      <w:marLeft w:val="0"/>
                      <w:marRight w:val="0"/>
                      <w:marTop w:val="0"/>
                      <w:marBottom w:val="0"/>
                      <w:divBdr>
                        <w:top w:val="none" w:sz="0" w:space="0" w:color="auto"/>
                        <w:left w:val="none" w:sz="0" w:space="0" w:color="auto"/>
                        <w:bottom w:val="none" w:sz="0" w:space="0" w:color="auto"/>
                        <w:right w:val="none" w:sz="0" w:space="0" w:color="auto"/>
                      </w:divBdr>
                    </w:div>
                  </w:divsChild>
                </w:div>
                <w:div w:id="512379477">
                  <w:marLeft w:val="0"/>
                  <w:marRight w:val="0"/>
                  <w:marTop w:val="0"/>
                  <w:marBottom w:val="0"/>
                  <w:divBdr>
                    <w:top w:val="none" w:sz="0" w:space="0" w:color="auto"/>
                    <w:left w:val="none" w:sz="0" w:space="0" w:color="auto"/>
                    <w:bottom w:val="none" w:sz="0" w:space="0" w:color="auto"/>
                    <w:right w:val="none" w:sz="0" w:space="0" w:color="auto"/>
                  </w:divBdr>
                  <w:divsChild>
                    <w:div w:id="1631323354">
                      <w:marLeft w:val="0"/>
                      <w:marRight w:val="0"/>
                      <w:marTop w:val="0"/>
                      <w:marBottom w:val="0"/>
                      <w:divBdr>
                        <w:top w:val="none" w:sz="0" w:space="0" w:color="auto"/>
                        <w:left w:val="none" w:sz="0" w:space="0" w:color="auto"/>
                        <w:bottom w:val="none" w:sz="0" w:space="0" w:color="auto"/>
                        <w:right w:val="none" w:sz="0" w:space="0" w:color="auto"/>
                      </w:divBdr>
                    </w:div>
                  </w:divsChild>
                </w:div>
                <w:div w:id="561406816">
                  <w:marLeft w:val="0"/>
                  <w:marRight w:val="0"/>
                  <w:marTop w:val="0"/>
                  <w:marBottom w:val="0"/>
                  <w:divBdr>
                    <w:top w:val="none" w:sz="0" w:space="0" w:color="auto"/>
                    <w:left w:val="none" w:sz="0" w:space="0" w:color="auto"/>
                    <w:bottom w:val="none" w:sz="0" w:space="0" w:color="auto"/>
                    <w:right w:val="none" w:sz="0" w:space="0" w:color="auto"/>
                  </w:divBdr>
                  <w:divsChild>
                    <w:div w:id="467673618">
                      <w:marLeft w:val="0"/>
                      <w:marRight w:val="0"/>
                      <w:marTop w:val="0"/>
                      <w:marBottom w:val="0"/>
                      <w:divBdr>
                        <w:top w:val="none" w:sz="0" w:space="0" w:color="auto"/>
                        <w:left w:val="none" w:sz="0" w:space="0" w:color="auto"/>
                        <w:bottom w:val="none" w:sz="0" w:space="0" w:color="auto"/>
                        <w:right w:val="none" w:sz="0" w:space="0" w:color="auto"/>
                      </w:divBdr>
                    </w:div>
                  </w:divsChild>
                </w:div>
                <w:div w:id="575824805">
                  <w:marLeft w:val="0"/>
                  <w:marRight w:val="0"/>
                  <w:marTop w:val="0"/>
                  <w:marBottom w:val="0"/>
                  <w:divBdr>
                    <w:top w:val="none" w:sz="0" w:space="0" w:color="auto"/>
                    <w:left w:val="none" w:sz="0" w:space="0" w:color="auto"/>
                    <w:bottom w:val="none" w:sz="0" w:space="0" w:color="auto"/>
                    <w:right w:val="none" w:sz="0" w:space="0" w:color="auto"/>
                  </w:divBdr>
                  <w:divsChild>
                    <w:div w:id="2091349875">
                      <w:marLeft w:val="0"/>
                      <w:marRight w:val="0"/>
                      <w:marTop w:val="0"/>
                      <w:marBottom w:val="0"/>
                      <w:divBdr>
                        <w:top w:val="none" w:sz="0" w:space="0" w:color="auto"/>
                        <w:left w:val="none" w:sz="0" w:space="0" w:color="auto"/>
                        <w:bottom w:val="none" w:sz="0" w:space="0" w:color="auto"/>
                        <w:right w:val="none" w:sz="0" w:space="0" w:color="auto"/>
                      </w:divBdr>
                    </w:div>
                  </w:divsChild>
                </w:div>
                <w:div w:id="583105391">
                  <w:marLeft w:val="0"/>
                  <w:marRight w:val="0"/>
                  <w:marTop w:val="0"/>
                  <w:marBottom w:val="0"/>
                  <w:divBdr>
                    <w:top w:val="none" w:sz="0" w:space="0" w:color="auto"/>
                    <w:left w:val="none" w:sz="0" w:space="0" w:color="auto"/>
                    <w:bottom w:val="none" w:sz="0" w:space="0" w:color="auto"/>
                    <w:right w:val="none" w:sz="0" w:space="0" w:color="auto"/>
                  </w:divBdr>
                  <w:divsChild>
                    <w:div w:id="143202480">
                      <w:marLeft w:val="0"/>
                      <w:marRight w:val="0"/>
                      <w:marTop w:val="0"/>
                      <w:marBottom w:val="0"/>
                      <w:divBdr>
                        <w:top w:val="none" w:sz="0" w:space="0" w:color="auto"/>
                        <w:left w:val="none" w:sz="0" w:space="0" w:color="auto"/>
                        <w:bottom w:val="none" w:sz="0" w:space="0" w:color="auto"/>
                        <w:right w:val="none" w:sz="0" w:space="0" w:color="auto"/>
                      </w:divBdr>
                    </w:div>
                  </w:divsChild>
                </w:div>
                <w:div w:id="586814301">
                  <w:marLeft w:val="0"/>
                  <w:marRight w:val="0"/>
                  <w:marTop w:val="0"/>
                  <w:marBottom w:val="0"/>
                  <w:divBdr>
                    <w:top w:val="none" w:sz="0" w:space="0" w:color="auto"/>
                    <w:left w:val="none" w:sz="0" w:space="0" w:color="auto"/>
                    <w:bottom w:val="none" w:sz="0" w:space="0" w:color="auto"/>
                    <w:right w:val="none" w:sz="0" w:space="0" w:color="auto"/>
                  </w:divBdr>
                  <w:divsChild>
                    <w:div w:id="1322588279">
                      <w:marLeft w:val="0"/>
                      <w:marRight w:val="0"/>
                      <w:marTop w:val="0"/>
                      <w:marBottom w:val="0"/>
                      <w:divBdr>
                        <w:top w:val="none" w:sz="0" w:space="0" w:color="auto"/>
                        <w:left w:val="none" w:sz="0" w:space="0" w:color="auto"/>
                        <w:bottom w:val="none" w:sz="0" w:space="0" w:color="auto"/>
                        <w:right w:val="none" w:sz="0" w:space="0" w:color="auto"/>
                      </w:divBdr>
                    </w:div>
                  </w:divsChild>
                </w:div>
                <w:div w:id="661155194">
                  <w:marLeft w:val="0"/>
                  <w:marRight w:val="0"/>
                  <w:marTop w:val="0"/>
                  <w:marBottom w:val="0"/>
                  <w:divBdr>
                    <w:top w:val="none" w:sz="0" w:space="0" w:color="auto"/>
                    <w:left w:val="none" w:sz="0" w:space="0" w:color="auto"/>
                    <w:bottom w:val="none" w:sz="0" w:space="0" w:color="auto"/>
                    <w:right w:val="none" w:sz="0" w:space="0" w:color="auto"/>
                  </w:divBdr>
                  <w:divsChild>
                    <w:div w:id="1172258217">
                      <w:marLeft w:val="0"/>
                      <w:marRight w:val="0"/>
                      <w:marTop w:val="0"/>
                      <w:marBottom w:val="0"/>
                      <w:divBdr>
                        <w:top w:val="none" w:sz="0" w:space="0" w:color="auto"/>
                        <w:left w:val="none" w:sz="0" w:space="0" w:color="auto"/>
                        <w:bottom w:val="none" w:sz="0" w:space="0" w:color="auto"/>
                        <w:right w:val="none" w:sz="0" w:space="0" w:color="auto"/>
                      </w:divBdr>
                    </w:div>
                  </w:divsChild>
                </w:div>
                <w:div w:id="720129601">
                  <w:marLeft w:val="0"/>
                  <w:marRight w:val="0"/>
                  <w:marTop w:val="0"/>
                  <w:marBottom w:val="0"/>
                  <w:divBdr>
                    <w:top w:val="none" w:sz="0" w:space="0" w:color="auto"/>
                    <w:left w:val="none" w:sz="0" w:space="0" w:color="auto"/>
                    <w:bottom w:val="none" w:sz="0" w:space="0" w:color="auto"/>
                    <w:right w:val="none" w:sz="0" w:space="0" w:color="auto"/>
                  </w:divBdr>
                  <w:divsChild>
                    <w:div w:id="690834615">
                      <w:marLeft w:val="0"/>
                      <w:marRight w:val="0"/>
                      <w:marTop w:val="0"/>
                      <w:marBottom w:val="0"/>
                      <w:divBdr>
                        <w:top w:val="none" w:sz="0" w:space="0" w:color="auto"/>
                        <w:left w:val="none" w:sz="0" w:space="0" w:color="auto"/>
                        <w:bottom w:val="none" w:sz="0" w:space="0" w:color="auto"/>
                        <w:right w:val="none" w:sz="0" w:space="0" w:color="auto"/>
                      </w:divBdr>
                    </w:div>
                  </w:divsChild>
                </w:div>
                <w:div w:id="772701355">
                  <w:marLeft w:val="0"/>
                  <w:marRight w:val="0"/>
                  <w:marTop w:val="0"/>
                  <w:marBottom w:val="0"/>
                  <w:divBdr>
                    <w:top w:val="none" w:sz="0" w:space="0" w:color="auto"/>
                    <w:left w:val="none" w:sz="0" w:space="0" w:color="auto"/>
                    <w:bottom w:val="none" w:sz="0" w:space="0" w:color="auto"/>
                    <w:right w:val="none" w:sz="0" w:space="0" w:color="auto"/>
                  </w:divBdr>
                  <w:divsChild>
                    <w:div w:id="506482631">
                      <w:marLeft w:val="0"/>
                      <w:marRight w:val="0"/>
                      <w:marTop w:val="0"/>
                      <w:marBottom w:val="0"/>
                      <w:divBdr>
                        <w:top w:val="none" w:sz="0" w:space="0" w:color="auto"/>
                        <w:left w:val="none" w:sz="0" w:space="0" w:color="auto"/>
                        <w:bottom w:val="none" w:sz="0" w:space="0" w:color="auto"/>
                        <w:right w:val="none" w:sz="0" w:space="0" w:color="auto"/>
                      </w:divBdr>
                    </w:div>
                  </w:divsChild>
                </w:div>
                <w:div w:id="786436452">
                  <w:marLeft w:val="0"/>
                  <w:marRight w:val="0"/>
                  <w:marTop w:val="0"/>
                  <w:marBottom w:val="0"/>
                  <w:divBdr>
                    <w:top w:val="none" w:sz="0" w:space="0" w:color="auto"/>
                    <w:left w:val="none" w:sz="0" w:space="0" w:color="auto"/>
                    <w:bottom w:val="none" w:sz="0" w:space="0" w:color="auto"/>
                    <w:right w:val="none" w:sz="0" w:space="0" w:color="auto"/>
                  </w:divBdr>
                  <w:divsChild>
                    <w:div w:id="397824033">
                      <w:marLeft w:val="0"/>
                      <w:marRight w:val="0"/>
                      <w:marTop w:val="0"/>
                      <w:marBottom w:val="0"/>
                      <w:divBdr>
                        <w:top w:val="none" w:sz="0" w:space="0" w:color="auto"/>
                        <w:left w:val="none" w:sz="0" w:space="0" w:color="auto"/>
                        <w:bottom w:val="none" w:sz="0" w:space="0" w:color="auto"/>
                        <w:right w:val="none" w:sz="0" w:space="0" w:color="auto"/>
                      </w:divBdr>
                    </w:div>
                  </w:divsChild>
                </w:div>
                <w:div w:id="1048141903">
                  <w:marLeft w:val="0"/>
                  <w:marRight w:val="0"/>
                  <w:marTop w:val="0"/>
                  <w:marBottom w:val="0"/>
                  <w:divBdr>
                    <w:top w:val="none" w:sz="0" w:space="0" w:color="auto"/>
                    <w:left w:val="none" w:sz="0" w:space="0" w:color="auto"/>
                    <w:bottom w:val="none" w:sz="0" w:space="0" w:color="auto"/>
                    <w:right w:val="none" w:sz="0" w:space="0" w:color="auto"/>
                  </w:divBdr>
                  <w:divsChild>
                    <w:div w:id="919367983">
                      <w:marLeft w:val="0"/>
                      <w:marRight w:val="0"/>
                      <w:marTop w:val="0"/>
                      <w:marBottom w:val="0"/>
                      <w:divBdr>
                        <w:top w:val="none" w:sz="0" w:space="0" w:color="auto"/>
                        <w:left w:val="none" w:sz="0" w:space="0" w:color="auto"/>
                        <w:bottom w:val="none" w:sz="0" w:space="0" w:color="auto"/>
                        <w:right w:val="none" w:sz="0" w:space="0" w:color="auto"/>
                      </w:divBdr>
                    </w:div>
                  </w:divsChild>
                </w:div>
                <w:div w:id="1090009444">
                  <w:marLeft w:val="0"/>
                  <w:marRight w:val="0"/>
                  <w:marTop w:val="0"/>
                  <w:marBottom w:val="0"/>
                  <w:divBdr>
                    <w:top w:val="none" w:sz="0" w:space="0" w:color="auto"/>
                    <w:left w:val="none" w:sz="0" w:space="0" w:color="auto"/>
                    <w:bottom w:val="none" w:sz="0" w:space="0" w:color="auto"/>
                    <w:right w:val="none" w:sz="0" w:space="0" w:color="auto"/>
                  </w:divBdr>
                  <w:divsChild>
                    <w:div w:id="999043214">
                      <w:marLeft w:val="0"/>
                      <w:marRight w:val="0"/>
                      <w:marTop w:val="0"/>
                      <w:marBottom w:val="0"/>
                      <w:divBdr>
                        <w:top w:val="none" w:sz="0" w:space="0" w:color="auto"/>
                        <w:left w:val="none" w:sz="0" w:space="0" w:color="auto"/>
                        <w:bottom w:val="none" w:sz="0" w:space="0" w:color="auto"/>
                        <w:right w:val="none" w:sz="0" w:space="0" w:color="auto"/>
                      </w:divBdr>
                    </w:div>
                  </w:divsChild>
                </w:div>
                <w:div w:id="1110003667">
                  <w:marLeft w:val="0"/>
                  <w:marRight w:val="0"/>
                  <w:marTop w:val="0"/>
                  <w:marBottom w:val="0"/>
                  <w:divBdr>
                    <w:top w:val="none" w:sz="0" w:space="0" w:color="auto"/>
                    <w:left w:val="none" w:sz="0" w:space="0" w:color="auto"/>
                    <w:bottom w:val="none" w:sz="0" w:space="0" w:color="auto"/>
                    <w:right w:val="none" w:sz="0" w:space="0" w:color="auto"/>
                  </w:divBdr>
                  <w:divsChild>
                    <w:div w:id="1708986494">
                      <w:marLeft w:val="0"/>
                      <w:marRight w:val="0"/>
                      <w:marTop w:val="0"/>
                      <w:marBottom w:val="0"/>
                      <w:divBdr>
                        <w:top w:val="none" w:sz="0" w:space="0" w:color="auto"/>
                        <w:left w:val="none" w:sz="0" w:space="0" w:color="auto"/>
                        <w:bottom w:val="none" w:sz="0" w:space="0" w:color="auto"/>
                        <w:right w:val="none" w:sz="0" w:space="0" w:color="auto"/>
                      </w:divBdr>
                    </w:div>
                  </w:divsChild>
                </w:div>
                <w:div w:id="1113552746">
                  <w:marLeft w:val="0"/>
                  <w:marRight w:val="0"/>
                  <w:marTop w:val="0"/>
                  <w:marBottom w:val="0"/>
                  <w:divBdr>
                    <w:top w:val="none" w:sz="0" w:space="0" w:color="auto"/>
                    <w:left w:val="none" w:sz="0" w:space="0" w:color="auto"/>
                    <w:bottom w:val="none" w:sz="0" w:space="0" w:color="auto"/>
                    <w:right w:val="none" w:sz="0" w:space="0" w:color="auto"/>
                  </w:divBdr>
                  <w:divsChild>
                    <w:div w:id="1632057433">
                      <w:marLeft w:val="0"/>
                      <w:marRight w:val="0"/>
                      <w:marTop w:val="0"/>
                      <w:marBottom w:val="0"/>
                      <w:divBdr>
                        <w:top w:val="none" w:sz="0" w:space="0" w:color="auto"/>
                        <w:left w:val="none" w:sz="0" w:space="0" w:color="auto"/>
                        <w:bottom w:val="none" w:sz="0" w:space="0" w:color="auto"/>
                        <w:right w:val="none" w:sz="0" w:space="0" w:color="auto"/>
                      </w:divBdr>
                    </w:div>
                  </w:divsChild>
                </w:div>
                <w:div w:id="1235430267">
                  <w:marLeft w:val="0"/>
                  <w:marRight w:val="0"/>
                  <w:marTop w:val="0"/>
                  <w:marBottom w:val="0"/>
                  <w:divBdr>
                    <w:top w:val="none" w:sz="0" w:space="0" w:color="auto"/>
                    <w:left w:val="none" w:sz="0" w:space="0" w:color="auto"/>
                    <w:bottom w:val="none" w:sz="0" w:space="0" w:color="auto"/>
                    <w:right w:val="none" w:sz="0" w:space="0" w:color="auto"/>
                  </w:divBdr>
                  <w:divsChild>
                    <w:div w:id="640572541">
                      <w:marLeft w:val="0"/>
                      <w:marRight w:val="0"/>
                      <w:marTop w:val="0"/>
                      <w:marBottom w:val="0"/>
                      <w:divBdr>
                        <w:top w:val="none" w:sz="0" w:space="0" w:color="auto"/>
                        <w:left w:val="none" w:sz="0" w:space="0" w:color="auto"/>
                        <w:bottom w:val="none" w:sz="0" w:space="0" w:color="auto"/>
                        <w:right w:val="none" w:sz="0" w:space="0" w:color="auto"/>
                      </w:divBdr>
                    </w:div>
                  </w:divsChild>
                </w:div>
                <w:div w:id="1253734384">
                  <w:marLeft w:val="0"/>
                  <w:marRight w:val="0"/>
                  <w:marTop w:val="0"/>
                  <w:marBottom w:val="0"/>
                  <w:divBdr>
                    <w:top w:val="none" w:sz="0" w:space="0" w:color="auto"/>
                    <w:left w:val="none" w:sz="0" w:space="0" w:color="auto"/>
                    <w:bottom w:val="none" w:sz="0" w:space="0" w:color="auto"/>
                    <w:right w:val="none" w:sz="0" w:space="0" w:color="auto"/>
                  </w:divBdr>
                  <w:divsChild>
                    <w:div w:id="244845007">
                      <w:marLeft w:val="0"/>
                      <w:marRight w:val="0"/>
                      <w:marTop w:val="0"/>
                      <w:marBottom w:val="0"/>
                      <w:divBdr>
                        <w:top w:val="none" w:sz="0" w:space="0" w:color="auto"/>
                        <w:left w:val="none" w:sz="0" w:space="0" w:color="auto"/>
                        <w:bottom w:val="none" w:sz="0" w:space="0" w:color="auto"/>
                        <w:right w:val="none" w:sz="0" w:space="0" w:color="auto"/>
                      </w:divBdr>
                    </w:div>
                  </w:divsChild>
                </w:div>
                <w:div w:id="1323269261">
                  <w:marLeft w:val="0"/>
                  <w:marRight w:val="0"/>
                  <w:marTop w:val="0"/>
                  <w:marBottom w:val="0"/>
                  <w:divBdr>
                    <w:top w:val="none" w:sz="0" w:space="0" w:color="auto"/>
                    <w:left w:val="none" w:sz="0" w:space="0" w:color="auto"/>
                    <w:bottom w:val="none" w:sz="0" w:space="0" w:color="auto"/>
                    <w:right w:val="none" w:sz="0" w:space="0" w:color="auto"/>
                  </w:divBdr>
                  <w:divsChild>
                    <w:div w:id="1297371020">
                      <w:marLeft w:val="0"/>
                      <w:marRight w:val="0"/>
                      <w:marTop w:val="0"/>
                      <w:marBottom w:val="0"/>
                      <w:divBdr>
                        <w:top w:val="none" w:sz="0" w:space="0" w:color="auto"/>
                        <w:left w:val="none" w:sz="0" w:space="0" w:color="auto"/>
                        <w:bottom w:val="none" w:sz="0" w:space="0" w:color="auto"/>
                        <w:right w:val="none" w:sz="0" w:space="0" w:color="auto"/>
                      </w:divBdr>
                    </w:div>
                  </w:divsChild>
                </w:div>
                <w:div w:id="1555921022">
                  <w:marLeft w:val="0"/>
                  <w:marRight w:val="0"/>
                  <w:marTop w:val="0"/>
                  <w:marBottom w:val="0"/>
                  <w:divBdr>
                    <w:top w:val="none" w:sz="0" w:space="0" w:color="auto"/>
                    <w:left w:val="none" w:sz="0" w:space="0" w:color="auto"/>
                    <w:bottom w:val="none" w:sz="0" w:space="0" w:color="auto"/>
                    <w:right w:val="none" w:sz="0" w:space="0" w:color="auto"/>
                  </w:divBdr>
                  <w:divsChild>
                    <w:div w:id="1474637770">
                      <w:marLeft w:val="0"/>
                      <w:marRight w:val="0"/>
                      <w:marTop w:val="0"/>
                      <w:marBottom w:val="0"/>
                      <w:divBdr>
                        <w:top w:val="none" w:sz="0" w:space="0" w:color="auto"/>
                        <w:left w:val="none" w:sz="0" w:space="0" w:color="auto"/>
                        <w:bottom w:val="none" w:sz="0" w:space="0" w:color="auto"/>
                        <w:right w:val="none" w:sz="0" w:space="0" w:color="auto"/>
                      </w:divBdr>
                    </w:div>
                  </w:divsChild>
                </w:div>
                <w:div w:id="1574269084">
                  <w:marLeft w:val="0"/>
                  <w:marRight w:val="0"/>
                  <w:marTop w:val="0"/>
                  <w:marBottom w:val="0"/>
                  <w:divBdr>
                    <w:top w:val="none" w:sz="0" w:space="0" w:color="auto"/>
                    <w:left w:val="none" w:sz="0" w:space="0" w:color="auto"/>
                    <w:bottom w:val="none" w:sz="0" w:space="0" w:color="auto"/>
                    <w:right w:val="none" w:sz="0" w:space="0" w:color="auto"/>
                  </w:divBdr>
                  <w:divsChild>
                    <w:div w:id="1397049778">
                      <w:marLeft w:val="0"/>
                      <w:marRight w:val="0"/>
                      <w:marTop w:val="0"/>
                      <w:marBottom w:val="0"/>
                      <w:divBdr>
                        <w:top w:val="none" w:sz="0" w:space="0" w:color="auto"/>
                        <w:left w:val="none" w:sz="0" w:space="0" w:color="auto"/>
                        <w:bottom w:val="none" w:sz="0" w:space="0" w:color="auto"/>
                        <w:right w:val="none" w:sz="0" w:space="0" w:color="auto"/>
                      </w:divBdr>
                    </w:div>
                  </w:divsChild>
                </w:div>
                <w:div w:id="1642416833">
                  <w:marLeft w:val="0"/>
                  <w:marRight w:val="0"/>
                  <w:marTop w:val="0"/>
                  <w:marBottom w:val="0"/>
                  <w:divBdr>
                    <w:top w:val="none" w:sz="0" w:space="0" w:color="auto"/>
                    <w:left w:val="none" w:sz="0" w:space="0" w:color="auto"/>
                    <w:bottom w:val="none" w:sz="0" w:space="0" w:color="auto"/>
                    <w:right w:val="none" w:sz="0" w:space="0" w:color="auto"/>
                  </w:divBdr>
                  <w:divsChild>
                    <w:div w:id="812718952">
                      <w:marLeft w:val="0"/>
                      <w:marRight w:val="0"/>
                      <w:marTop w:val="0"/>
                      <w:marBottom w:val="0"/>
                      <w:divBdr>
                        <w:top w:val="none" w:sz="0" w:space="0" w:color="auto"/>
                        <w:left w:val="none" w:sz="0" w:space="0" w:color="auto"/>
                        <w:bottom w:val="none" w:sz="0" w:space="0" w:color="auto"/>
                        <w:right w:val="none" w:sz="0" w:space="0" w:color="auto"/>
                      </w:divBdr>
                    </w:div>
                  </w:divsChild>
                </w:div>
                <w:div w:id="1828324689">
                  <w:marLeft w:val="0"/>
                  <w:marRight w:val="0"/>
                  <w:marTop w:val="0"/>
                  <w:marBottom w:val="0"/>
                  <w:divBdr>
                    <w:top w:val="none" w:sz="0" w:space="0" w:color="auto"/>
                    <w:left w:val="none" w:sz="0" w:space="0" w:color="auto"/>
                    <w:bottom w:val="none" w:sz="0" w:space="0" w:color="auto"/>
                    <w:right w:val="none" w:sz="0" w:space="0" w:color="auto"/>
                  </w:divBdr>
                  <w:divsChild>
                    <w:div w:id="358749085">
                      <w:marLeft w:val="0"/>
                      <w:marRight w:val="0"/>
                      <w:marTop w:val="0"/>
                      <w:marBottom w:val="0"/>
                      <w:divBdr>
                        <w:top w:val="none" w:sz="0" w:space="0" w:color="auto"/>
                        <w:left w:val="none" w:sz="0" w:space="0" w:color="auto"/>
                        <w:bottom w:val="none" w:sz="0" w:space="0" w:color="auto"/>
                        <w:right w:val="none" w:sz="0" w:space="0" w:color="auto"/>
                      </w:divBdr>
                    </w:div>
                  </w:divsChild>
                </w:div>
                <w:div w:id="1830050553">
                  <w:marLeft w:val="0"/>
                  <w:marRight w:val="0"/>
                  <w:marTop w:val="0"/>
                  <w:marBottom w:val="0"/>
                  <w:divBdr>
                    <w:top w:val="none" w:sz="0" w:space="0" w:color="auto"/>
                    <w:left w:val="none" w:sz="0" w:space="0" w:color="auto"/>
                    <w:bottom w:val="none" w:sz="0" w:space="0" w:color="auto"/>
                    <w:right w:val="none" w:sz="0" w:space="0" w:color="auto"/>
                  </w:divBdr>
                  <w:divsChild>
                    <w:div w:id="906764990">
                      <w:marLeft w:val="0"/>
                      <w:marRight w:val="0"/>
                      <w:marTop w:val="0"/>
                      <w:marBottom w:val="0"/>
                      <w:divBdr>
                        <w:top w:val="none" w:sz="0" w:space="0" w:color="auto"/>
                        <w:left w:val="none" w:sz="0" w:space="0" w:color="auto"/>
                        <w:bottom w:val="none" w:sz="0" w:space="0" w:color="auto"/>
                        <w:right w:val="none" w:sz="0" w:space="0" w:color="auto"/>
                      </w:divBdr>
                    </w:div>
                  </w:divsChild>
                </w:div>
                <w:div w:id="1856580311">
                  <w:marLeft w:val="0"/>
                  <w:marRight w:val="0"/>
                  <w:marTop w:val="0"/>
                  <w:marBottom w:val="0"/>
                  <w:divBdr>
                    <w:top w:val="none" w:sz="0" w:space="0" w:color="auto"/>
                    <w:left w:val="none" w:sz="0" w:space="0" w:color="auto"/>
                    <w:bottom w:val="none" w:sz="0" w:space="0" w:color="auto"/>
                    <w:right w:val="none" w:sz="0" w:space="0" w:color="auto"/>
                  </w:divBdr>
                  <w:divsChild>
                    <w:div w:id="1499661649">
                      <w:marLeft w:val="0"/>
                      <w:marRight w:val="0"/>
                      <w:marTop w:val="0"/>
                      <w:marBottom w:val="0"/>
                      <w:divBdr>
                        <w:top w:val="none" w:sz="0" w:space="0" w:color="auto"/>
                        <w:left w:val="none" w:sz="0" w:space="0" w:color="auto"/>
                        <w:bottom w:val="none" w:sz="0" w:space="0" w:color="auto"/>
                        <w:right w:val="none" w:sz="0" w:space="0" w:color="auto"/>
                      </w:divBdr>
                    </w:div>
                  </w:divsChild>
                </w:div>
                <w:div w:id="1931234381">
                  <w:marLeft w:val="0"/>
                  <w:marRight w:val="0"/>
                  <w:marTop w:val="0"/>
                  <w:marBottom w:val="0"/>
                  <w:divBdr>
                    <w:top w:val="none" w:sz="0" w:space="0" w:color="auto"/>
                    <w:left w:val="none" w:sz="0" w:space="0" w:color="auto"/>
                    <w:bottom w:val="none" w:sz="0" w:space="0" w:color="auto"/>
                    <w:right w:val="none" w:sz="0" w:space="0" w:color="auto"/>
                  </w:divBdr>
                  <w:divsChild>
                    <w:div w:id="1133522223">
                      <w:marLeft w:val="0"/>
                      <w:marRight w:val="0"/>
                      <w:marTop w:val="0"/>
                      <w:marBottom w:val="0"/>
                      <w:divBdr>
                        <w:top w:val="none" w:sz="0" w:space="0" w:color="auto"/>
                        <w:left w:val="none" w:sz="0" w:space="0" w:color="auto"/>
                        <w:bottom w:val="none" w:sz="0" w:space="0" w:color="auto"/>
                        <w:right w:val="none" w:sz="0" w:space="0" w:color="auto"/>
                      </w:divBdr>
                    </w:div>
                  </w:divsChild>
                </w:div>
                <w:div w:id="1986471078">
                  <w:marLeft w:val="0"/>
                  <w:marRight w:val="0"/>
                  <w:marTop w:val="0"/>
                  <w:marBottom w:val="0"/>
                  <w:divBdr>
                    <w:top w:val="none" w:sz="0" w:space="0" w:color="auto"/>
                    <w:left w:val="none" w:sz="0" w:space="0" w:color="auto"/>
                    <w:bottom w:val="none" w:sz="0" w:space="0" w:color="auto"/>
                    <w:right w:val="none" w:sz="0" w:space="0" w:color="auto"/>
                  </w:divBdr>
                  <w:divsChild>
                    <w:div w:id="134490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8949157">
      <w:bodyDiv w:val="1"/>
      <w:marLeft w:val="0"/>
      <w:marRight w:val="0"/>
      <w:marTop w:val="0"/>
      <w:marBottom w:val="0"/>
      <w:divBdr>
        <w:top w:val="none" w:sz="0" w:space="0" w:color="auto"/>
        <w:left w:val="none" w:sz="0" w:space="0" w:color="auto"/>
        <w:bottom w:val="none" w:sz="0" w:space="0" w:color="auto"/>
        <w:right w:val="none" w:sz="0" w:space="0" w:color="auto"/>
      </w:divBdr>
    </w:div>
    <w:div w:id="1064835890">
      <w:bodyDiv w:val="1"/>
      <w:marLeft w:val="0"/>
      <w:marRight w:val="0"/>
      <w:marTop w:val="0"/>
      <w:marBottom w:val="0"/>
      <w:divBdr>
        <w:top w:val="none" w:sz="0" w:space="0" w:color="auto"/>
        <w:left w:val="none" w:sz="0" w:space="0" w:color="auto"/>
        <w:bottom w:val="none" w:sz="0" w:space="0" w:color="auto"/>
        <w:right w:val="none" w:sz="0" w:space="0" w:color="auto"/>
      </w:divBdr>
      <w:divsChild>
        <w:div w:id="138570418">
          <w:marLeft w:val="0"/>
          <w:marRight w:val="0"/>
          <w:marTop w:val="0"/>
          <w:marBottom w:val="0"/>
          <w:divBdr>
            <w:top w:val="none" w:sz="0" w:space="0" w:color="auto"/>
            <w:left w:val="none" w:sz="0" w:space="0" w:color="auto"/>
            <w:bottom w:val="none" w:sz="0" w:space="0" w:color="auto"/>
            <w:right w:val="none" w:sz="0" w:space="0" w:color="auto"/>
          </w:divBdr>
        </w:div>
        <w:div w:id="2115978160">
          <w:marLeft w:val="0"/>
          <w:marRight w:val="0"/>
          <w:marTop w:val="0"/>
          <w:marBottom w:val="0"/>
          <w:divBdr>
            <w:top w:val="none" w:sz="0" w:space="0" w:color="auto"/>
            <w:left w:val="none" w:sz="0" w:space="0" w:color="auto"/>
            <w:bottom w:val="none" w:sz="0" w:space="0" w:color="auto"/>
            <w:right w:val="none" w:sz="0" w:space="0" w:color="auto"/>
          </w:divBdr>
        </w:div>
      </w:divsChild>
    </w:div>
    <w:div w:id="12704282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1991405131">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5AIRPNAIUNRU-1328258698-4192</_dlc_DocId>
    <_dlc_DocIdUrl xmlns="71c5aaf6-e6ce-465b-b873-5148d2a4c105">
      <Url>https://nokia.sharepoint.com/sites/c5g/5gradio/_layouts/15/DocIdRedir.aspx?ID=5AIRPNAIUNRU-1328258698-4192</Url>
      <Description>5AIRPNAIUNRU-1328258698-4192</Description>
    </_dlc_DocIdUrl>
  </documentManagement>
</p:properties>
</file>

<file path=customXml/itemProps1.xml><?xml version="1.0" encoding="utf-8"?>
<ds:datastoreItem xmlns:ds="http://schemas.openxmlformats.org/officeDocument/2006/customXml" ds:itemID="{A9718B02-E310-41B5-AFE7-91A8A807520C}">
  <ds:schemaRefs>
    <ds:schemaRef ds:uri="http://schemas.microsoft.com/sharepoint/v3/contenttype/forms"/>
  </ds:schemaRefs>
</ds:datastoreItem>
</file>

<file path=customXml/itemProps2.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3.xml><?xml version="1.0" encoding="utf-8"?>
<ds:datastoreItem xmlns:ds="http://schemas.openxmlformats.org/officeDocument/2006/customXml" ds:itemID="{7CE54D6E-B923-418D-96EE-F78063B692CA}">
  <ds:schemaRefs>
    <ds:schemaRef ds:uri="http://schemas.microsoft.com/sharepoint/events"/>
  </ds:schemaRefs>
</ds:datastoreItem>
</file>

<file path=customXml/itemProps4.xml><?xml version="1.0" encoding="utf-8"?>
<ds:datastoreItem xmlns:ds="http://schemas.openxmlformats.org/officeDocument/2006/customXml" ds:itemID="{84F11485-F53C-46AB-868D-538D09ACD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223</TotalTime>
  <Pages>2</Pages>
  <Words>686</Words>
  <Characters>5563</Characters>
  <Application>Microsoft Office Word</Application>
  <DocSecurity>0</DocSecurity>
  <Lines>46</Lines>
  <Paragraphs>12</Paragraphs>
  <ScaleCrop>false</ScaleCrop>
  <Company>ETSI Sophia Antipolis</Company>
  <LinksUpToDate>false</LinksUpToDate>
  <CharactersWithSpaces>6237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56</cp:revision>
  <cp:lastPrinted>2002-04-23T07:10:00Z</cp:lastPrinted>
  <dcterms:created xsi:type="dcterms:W3CDTF">2021-10-20T08:40:00Z</dcterms:created>
  <dcterms:modified xsi:type="dcterms:W3CDTF">2021-10-21T18:05:00Z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y fmtid="{D5CDD505-2E9C-101B-9397-08002B2CF9AE}" pid="3" name="_dlc_DocIdItemGuid">
    <vt:lpwstr>c8ee4e05-db8f-472f-b1d9-deb1aad9b517</vt:lpwstr>
  </property>
</Properties>
</file>